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2" w14:textId="77777777" w:rsidR="00A43B76" w:rsidRPr="00CE2156" w:rsidRDefault="00CE2156" w:rsidP="003965C8">
      <w:pPr>
        <w:pBdr>
          <w:top w:val="nil"/>
          <w:left w:val="nil"/>
          <w:bottom w:val="nil"/>
          <w:right w:val="nil"/>
          <w:between w:val="nil"/>
        </w:pBdr>
        <w:tabs>
          <w:tab w:val="left" w:pos="630"/>
        </w:tabs>
        <w:spacing w:after="120" w:line="360" w:lineRule="auto"/>
        <w:jc w:val="both"/>
        <w:rPr>
          <w:rFonts w:ascii="Arial" w:eastAsia="Arial" w:hAnsi="Arial" w:cs="Arial"/>
          <w:b/>
          <w:color w:val="010000"/>
          <w:sz w:val="20"/>
          <w:szCs w:val="20"/>
        </w:rPr>
      </w:pPr>
      <w:r w:rsidRPr="00CE2156">
        <w:rPr>
          <w:rFonts w:ascii="Arial" w:hAnsi="Arial" w:cs="Arial"/>
          <w:b/>
          <w:color w:val="010000"/>
          <w:sz w:val="20"/>
        </w:rPr>
        <w:t>TIN: Board Resolution</w:t>
      </w:r>
    </w:p>
    <w:p w14:paraId="00000003" w14:textId="78024E87" w:rsidR="00A43B76" w:rsidRPr="00CE2156" w:rsidRDefault="00CE2156" w:rsidP="003965C8">
      <w:pPr>
        <w:pBdr>
          <w:top w:val="nil"/>
          <w:left w:val="nil"/>
          <w:bottom w:val="nil"/>
          <w:right w:val="nil"/>
          <w:between w:val="nil"/>
        </w:pBdr>
        <w:tabs>
          <w:tab w:val="left" w:pos="630"/>
        </w:tabs>
        <w:spacing w:after="120" w:line="360" w:lineRule="auto"/>
        <w:jc w:val="both"/>
        <w:rPr>
          <w:rFonts w:ascii="Arial" w:eastAsia="Arial" w:hAnsi="Arial" w:cs="Arial"/>
          <w:color w:val="010000"/>
          <w:sz w:val="20"/>
          <w:szCs w:val="20"/>
        </w:rPr>
      </w:pPr>
      <w:r w:rsidRPr="00CE2156">
        <w:rPr>
          <w:rFonts w:ascii="Arial" w:hAnsi="Arial" w:cs="Arial"/>
          <w:color w:val="010000"/>
          <w:sz w:val="20"/>
        </w:rPr>
        <w:t xml:space="preserve">On August 23, 2024, </w:t>
      </w:r>
      <w:proofErr w:type="spellStart"/>
      <w:r w:rsidRPr="00CE2156">
        <w:rPr>
          <w:rFonts w:ascii="Arial" w:hAnsi="Arial" w:cs="Arial"/>
          <w:color w:val="010000"/>
          <w:sz w:val="20"/>
        </w:rPr>
        <w:t>VietCredit</w:t>
      </w:r>
      <w:proofErr w:type="spellEnd"/>
      <w:r w:rsidRPr="00CE2156">
        <w:rPr>
          <w:rFonts w:ascii="Arial" w:hAnsi="Arial" w:cs="Arial"/>
          <w:color w:val="010000"/>
          <w:sz w:val="20"/>
        </w:rPr>
        <w:t xml:space="preserve"> Finance Joint Stock Company announced Resolution </w:t>
      </w:r>
      <w:r w:rsidR="00BE07E9" w:rsidRPr="00CE2156">
        <w:rPr>
          <w:rFonts w:ascii="Arial" w:hAnsi="Arial" w:cs="Arial"/>
          <w:color w:val="010000"/>
          <w:sz w:val="20"/>
        </w:rPr>
        <w:t xml:space="preserve">No. </w:t>
      </w:r>
      <w:r w:rsidRPr="00CE2156">
        <w:rPr>
          <w:rFonts w:ascii="Arial" w:hAnsi="Arial" w:cs="Arial"/>
          <w:color w:val="010000"/>
          <w:sz w:val="20"/>
        </w:rPr>
        <w:t>612/2024/</w:t>
      </w:r>
      <w:proofErr w:type="spellStart"/>
      <w:r w:rsidRPr="00CE2156">
        <w:rPr>
          <w:rFonts w:ascii="Arial" w:hAnsi="Arial" w:cs="Arial"/>
          <w:color w:val="010000"/>
          <w:sz w:val="20"/>
        </w:rPr>
        <w:t>VietCredit</w:t>
      </w:r>
      <w:proofErr w:type="spellEnd"/>
      <w:r w:rsidRPr="00CE2156">
        <w:rPr>
          <w:rFonts w:ascii="Arial" w:hAnsi="Arial" w:cs="Arial"/>
          <w:color w:val="010000"/>
          <w:sz w:val="20"/>
        </w:rPr>
        <w:t xml:space="preserve">-NQ on continuing to distribute the number of shares due to existing shareholders not exercising their buying rights or not fully exercising their buying rights in the public offering of additional shares of </w:t>
      </w:r>
      <w:proofErr w:type="spellStart"/>
      <w:r w:rsidRPr="00CE2156">
        <w:rPr>
          <w:rFonts w:ascii="Arial" w:hAnsi="Arial" w:cs="Arial"/>
          <w:color w:val="010000"/>
          <w:sz w:val="20"/>
        </w:rPr>
        <w:t>VietCredit</w:t>
      </w:r>
      <w:proofErr w:type="spellEnd"/>
      <w:r w:rsidRPr="00CE2156">
        <w:rPr>
          <w:rFonts w:ascii="Arial" w:hAnsi="Arial" w:cs="Arial"/>
          <w:color w:val="010000"/>
          <w:sz w:val="20"/>
        </w:rPr>
        <w:t xml:space="preserve"> Finance Joint Stock Company as follows:</w:t>
      </w:r>
    </w:p>
    <w:p w14:paraId="00000004" w14:textId="4C52AACF" w:rsidR="00A43B76" w:rsidRPr="00CE2156" w:rsidRDefault="00CE2156" w:rsidP="003965C8">
      <w:pPr>
        <w:pBdr>
          <w:top w:val="nil"/>
          <w:left w:val="nil"/>
          <w:bottom w:val="nil"/>
          <w:right w:val="nil"/>
          <w:between w:val="nil"/>
        </w:pBdr>
        <w:tabs>
          <w:tab w:val="left" w:pos="630"/>
        </w:tabs>
        <w:spacing w:after="120" w:line="360" w:lineRule="auto"/>
        <w:jc w:val="both"/>
        <w:rPr>
          <w:rFonts w:ascii="Arial" w:eastAsia="Arial" w:hAnsi="Arial" w:cs="Arial"/>
          <w:color w:val="010000"/>
          <w:sz w:val="20"/>
          <w:szCs w:val="20"/>
        </w:rPr>
      </w:pPr>
      <w:proofErr w:type="gramStart"/>
      <w:r w:rsidRPr="00CE2156">
        <w:rPr>
          <w:rFonts w:ascii="Arial" w:hAnsi="Arial" w:cs="Arial"/>
          <w:color w:val="010000"/>
          <w:sz w:val="20"/>
        </w:rPr>
        <w:t>‎‎Article 1.</w:t>
      </w:r>
      <w:proofErr w:type="gramEnd"/>
      <w:r w:rsidRPr="00CE2156">
        <w:rPr>
          <w:rFonts w:ascii="Arial" w:hAnsi="Arial" w:cs="Arial"/>
          <w:color w:val="010000"/>
          <w:sz w:val="20"/>
        </w:rPr>
        <w:t xml:space="preserve"> Approve the results of the public offering </w:t>
      </w:r>
      <w:r w:rsidR="00BE07E9" w:rsidRPr="00CE2156">
        <w:rPr>
          <w:rFonts w:ascii="Arial" w:hAnsi="Arial" w:cs="Arial"/>
          <w:color w:val="010000"/>
          <w:sz w:val="20"/>
        </w:rPr>
        <w:t>for</w:t>
      </w:r>
      <w:r w:rsidRPr="00CE2156">
        <w:rPr>
          <w:rFonts w:ascii="Arial" w:hAnsi="Arial" w:cs="Arial"/>
          <w:color w:val="010000"/>
          <w:sz w:val="20"/>
        </w:rPr>
        <w:t xml:space="preserve"> existing shareholders according to the method of exercising rights:</w:t>
      </w:r>
    </w:p>
    <w:p w14:paraId="00000005" w14:textId="42FB0642" w:rsidR="00A43B76" w:rsidRPr="00CE2156" w:rsidRDefault="00CE2156" w:rsidP="003965C8">
      <w:pPr>
        <w:numPr>
          <w:ilvl w:val="0"/>
          <w:numId w:val="4"/>
        </w:numPr>
        <w:pBdr>
          <w:top w:val="nil"/>
          <w:left w:val="nil"/>
          <w:bottom w:val="nil"/>
          <w:right w:val="nil"/>
          <w:between w:val="nil"/>
        </w:pBdr>
        <w:tabs>
          <w:tab w:val="left" w:pos="630"/>
        </w:tabs>
        <w:spacing w:after="120" w:line="360" w:lineRule="auto"/>
        <w:ind w:left="0" w:firstLine="0"/>
        <w:jc w:val="both"/>
        <w:rPr>
          <w:rFonts w:ascii="Arial" w:hAnsi="Arial" w:cs="Arial"/>
          <w:color w:val="010000"/>
          <w:sz w:val="20"/>
        </w:rPr>
      </w:pPr>
      <w:r w:rsidRPr="00CE2156">
        <w:rPr>
          <w:rFonts w:ascii="Arial" w:hAnsi="Arial" w:cs="Arial"/>
          <w:color w:val="010000"/>
          <w:sz w:val="20"/>
        </w:rPr>
        <w:t xml:space="preserve">Offered shares: Shares of </w:t>
      </w:r>
      <w:proofErr w:type="spellStart"/>
      <w:r w:rsidR="00BE07E9" w:rsidRPr="00CE2156">
        <w:rPr>
          <w:rFonts w:ascii="Arial" w:hAnsi="Arial" w:cs="Arial"/>
          <w:color w:val="010000"/>
          <w:sz w:val="20"/>
        </w:rPr>
        <w:t>VietCredit</w:t>
      </w:r>
      <w:proofErr w:type="spellEnd"/>
      <w:r w:rsidR="00BE07E9" w:rsidRPr="00CE2156">
        <w:rPr>
          <w:rFonts w:ascii="Arial" w:hAnsi="Arial" w:cs="Arial"/>
          <w:color w:val="010000"/>
          <w:sz w:val="20"/>
        </w:rPr>
        <w:t xml:space="preserve"> Finance Joint Stock Company</w:t>
      </w:r>
      <w:r w:rsidRPr="00CE2156">
        <w:rPr>
          <w:rFonts w:ascii="Arial" w:hAnsi="Arial" w:cs="Arial"/>
          <w:color w:val="010000"/>
          <w:sz w:val="20"/>
        </w:rPr>
        <w:t>;</w:t>
      </w:r>
    </w:p>
    <w:p w14:paraId="00000006" w14:textId="0E68E9B6" w:rsidR="00A43B76" w:rsidRPr="00CE2156" w:rsidRDefault="00CE2156" w:rsidP="003965C8">
      <w:pPr>
        <w:numPr>
          <w:ilvl w:val="0"/>
          <w:numId w:val="4"/>
        </w:numPr>
        <w:pBdr>
          <w:top w:val="nil"/>
          <w:left w:val="nil"/>
          <w:bottom w:val="nil"/>
          <w:right w:val="nil"/>
          <w:between w:val="nil"/>
        </w:pBdr>
        <w:tabs>
          <w:tab w:val="left" w:pos="630"/>
        </w:tabs>
        <w:spacing w:after="120" w:line="360" w:lineRule="auto"/>
        <w:ind w:left="0" w:firstLine="0"/>
        <w:jc w:val="both"/>
        <w:rPr>
          <w:rFonts w:ascii="Arial" w:hAnsi="Arial" w:cs="Arial"/>
          <w:color w:val="010000"/>
          <w:sz w:val="20"/>
        </w:rPr>
      </w:pPr>
      <w:r w:rsidRPr="00CE2156">
        <w:rPr>
          <w:rFonts w:ascii="Arial" w:hAnsi="Arial" w:cs="Arial"/>
          <w:color w:val="010000"/>
          <w:sz w:val="20"/>
        </w:rPr>
        <w:t>Share</w:t>
      </w:r>
      <w:r w:rsidR="00BE07E9" w:rsidRPr="00CE2156">
        <w:rPr>
          <w:rFonts w:ascii="Arial" w:hAnsi="Arial" w:cs="Arial"/>
          <w:color w:val="010000"/>
          <w:sz w:val="20"/>
        </w:rPr>
        <w:t>s</w:t>
      </w:r>
      <w:r w:rsidRPr="00CE2156">
        <w:rPr>
          <w:rFonts w:ascii="Arial" w:hAnsi="Arial" w:cs="Arial"/>
          <w:color w:val="010000"/>
          <w:sz w:val="20"/>
        </w:rPr>
        <w:t xml:space="preserve"> type: Common shares</w:t>
      </w:r>
    </w:p>
    <w:p w14:paraId="00000007" w14:textId="77777777" w:rsidR="00A43B76" w:rsidRPr="00CE2156" w:rsidRDefault="00CE2156" w:rsidP="003965C8">
      <w:pPr>
        <w:numPr>
          <w:ilvl w:val="0"/>
          <w:numId w:val="4"/>
        </w:numPr>
        <w:pBdr>
          <w:top w:val="nil"/>
          <w:left w:val="nil"/>
          <w:bottom w:val="nil"/>
          <w:right w:val="nil"/>
          <w:between w:val="nil"/>
        </w:pBdr>
        <w:tabs>
          <w:tab w:val="left" w:pos="630"/>
        </w:tabs>
        <w:spacing w:after="120" w:line="360" w:lineRule="auto"/>
        <w:ind w:left="0" w:firstLine="0"/>
        <w:jc w:val="both"/>
        <w:rPr>
          <w:rFonts w:ascii="Arial" w:hAnsi="Arial" w:cs="Arial"/>
          <w:color w:val="010000"/>
          <w:sz w:val="20"/>
        </w:rPr>
      </w:pPr>
      <w:r w:rsidRPr="00CE2156">
        <w:rPr>
          <w:rFonts w:ascii="Arial" w:hAnsi="Arial" w:cs="Arial"/>
          <w:color w:val="010000"/>
          <w:sz w:val="20"/>
        </w:rPr>
        <w:t>Offering price: VND10,000/share;</w:t>
      </w:r>
    </w:p>
    <w:p w14:paraId="00000008" w14:textId="70F16ACC" w:rsidR="00A43B76" w:rsidRPr="00CE2156" w:rsidRDefault="00CE2156" w:rsidP="003965C8">
      <w:pPr>
        <w:numPr>
          <w:ilvl w:val="0"/>
          <w:numId w:val="4"/>
        </w:numPr>
        <w:pBdr>
          <w:top w:val="nil"/>
          <w:left w:val="nil"/>
          <w:bottom w:val="nil"/>
          <w:right w:val="nil"/>
          <w:between w:val="nil"/>
        </w:pBdr>
        <w:tabs>
          <w:tab w:val="left" w:pos="630"/>
        </w:tabs>
        <w:spacing w:after="120" w:line="360" w:lineRule="auto"/>
        <w:ind w:left="0" w:firstLine="0"/>
        <w:jc w:val="both"/>
        <w:rPr>
          <w:rFonts w:ascii="Arial" w:hAnsi="Arial" w:cs="Arial"/>
          <w:color w:val="010000"/>
          <w:sz w:val="20"/>
        </w:rPr>
      </w:pPr>
      <w:r w:rsidRPr="00CE2156">
        <w:rPr>
          <w:rFonts w:ascii="Arial" w:hAnsi="Arial" w:cs="Arial"/>
          <w:color w:val="010000"/>
          <w:sz w:val="20"/>
        </w:rPr>
        <w:t xml:space="preserve">Total number </w:t>
      </w:r>
      <w:r w:rsidR="00BE07E9" w:rsidRPr="00CE2156">
        <w:rPr>
          <w:rFonts w:ascii="Arial" w:hAnsi="Arial" w:cs="Arial"/>
          <w:color w:val="010000"/>
          <w:sz w:val="20"/>
        </w:rPr>
        <w:t xml:space="preserve">of </w:t>
      </w:r>
      <w:r w:rsidRPr="00CE2156">
        <w:rPr>
          <w:rFonts w:ascii="Arial" w:hAnsi="Arial" w:cs="Arial"/>
          <w:color w:val="010000"/>
          <w:sz w:val="20"/>
        </w:rPr>
        <w:t xml:space="preserve">shares of the public offering </w:t>
      </w:r>
      <w:r w:rsidR="00BE07E9" w:rsidRPr="00CE2156">
        <w:rPr>
          <w:rFonts w:ascii="Arial" w:hAnsi="Arial" w:cs="Arial"/>
          <w:color w:val="010000"/>
          <w:sz w:val="20"/>
        </w:rPr>
        <w:t>for</w:t>
      </w:r>
      <w:r w:rsidRPr="00CE2156">
        <w:rPr>
          <w:rFonts w:ascii="Arial" w:hAnsi="Arial" w:cs="Arial"/>
          <w:color w:val="010000"/>
          <w:sz w:val="20"/>
        </w:rPr>
        <w:t xml:space="preserve"> existing shareholders was approved by the State Securities Commission according to Registration Certificate for public offering </w:t>
      </w:r>
      <w:r w:rsidR="00BE07E9" w:rsidRPr="00CE2156">
        <w:rPr>
          <w:rFonts w:ascii="Arial" w:hAnsi="Arial" w:cs="Arial"/>
          <w:color w:val="010000"/>
          <w:sz w:val="20"/>
        </w:rPr>
        <w:t xml:space="preserve">No. </w:t>
      </w:r>
      <w:r w:rsidRPr="00CE2156">
        <w:rPr>
          <w:rFonts w:ascii="Arial" w:hAnsi="Arial" w:cs="Arial"/>
          <w:color w:val="010000"/>
          <w:sz w:val="20"/>
        </w:rPr>
        <w:t>105/GCN-UBCK dated June 18, 2024: 21,041,164 shares.</w:t>
      </w:r>
    </w:p>
    <w:p w14:paraId="00000009" w14:textId="77777777" w:rsidR="00A43B76" w:rsidRPr="00CE2156" w:rsidRDefault="00CE2156" w:rsidP="003965C8">
      <w:pPr>
        <w:numPr>
          <w:ilvl w:val="0"/>
          <w:numId w:val="4"/>
        </w:numPr>
        <w:pBdr>
          <w:top w:val="nil"/>
          <w:left w:val="nil"/>
          <w:bottom w:val="nil"/>
          <w:right w:val="nil"/>
          <w:between w:val="nil"/>
        </w:pBdr>
        <w:tabs>
          <w:tab w:val="left" w:pos="630"/>
        </w:tabs>
        <w:spacing w:after="120" w:line="360" w:lineRule="auto"/>
        <w:ind w:left="0" w:firstLine="0"/>
        <w:jc w:val="both"/>
        <w:rPr>
          <w:rFonts w:ascii="Arial" w:hAnsi="Arial" w:cs="Arial"/>
          <w:color w:val="010000"/>
          <w:sz w:val="20"/>
        </w:rPr>
      </w:pPr>
      <w:r w:rsidRPr="00CE2156">
        <w:rPr>
          <w:rFonts w:ascii="Arial" w:hAnsi="Arial" w:cs="Arial"/>
          <w:color w:val="010000"/>
          <w:sz w:val="20"/>
        </w:rPr>
        <w:t>Results of the public offering of additional shares for existing shareholders:</w:t>
      </w:r>
    </w:p>
    <w:p w14:paraId="0000000A" w14:textId="77777777" w:rsidR="00A43B76" w:rsidRPr="00CE2156" w:rsidRDefault="00CE2156" w:rsidP="003965C8">
      <w:pPr>
        <w:numPr>
          <w:ilvl w:val="0"/>
          <w:numId w:val="1"/>
        </w:numPr>
        <w:pBdr>
          <w:top w:val="nil"/>
          <w:left w:val="nil"/>
          <w:bottom w:val="nil"/>
          <w:right w:val="nil"/>
          <w:between w:val="nil"/>
        </w:pBdr>
        <w:tabs>
          <w:tab w:val="left" w:pos="630"/>
        </w:tabs>
        <w:spacing w:after="120" w:line="360" w:lineRule="auto"/>
        <w:ind w:left="0" w:firstLine="0"/>
        <w:jc w:val="both"/>
        <w:rPr>
          <w:rFonts w:ascii="Arial" w:hAnsi="Arial" w:cs="Arial"/>
          <w:color w:val="010000"/>
          <w:sz w:val="20"/>
        </w:rPr>
      </w:pPr>
      <w:r w:rsidRPr="00CE2156">
        <w:rPr>
          <w:rFonts w:ascii="Arial" w:hAnsi="Arial" w:cs="Arial"/>
          <w:color w:val="010000"/>
          <w:sz w:val="20"/>
        </w:rPr>
        <w:t>Number of shares purchased by existing shareholders: 4,779,634 shares</w:t>
      </w:r>
    </w:p>
    <w:p w14:paraId="0000000B" w14:textId="77777777" w:rsidR="00A43B76" w:rsidRPr="00CE2156" w:rsidRDefault="00CE2156" w:rsidP="003965C8">
      <w:pPr>
        <w:numPr>
          <w:ilvl w:val="0"/>
          <w:numId w:val="1"/>
        </w:numPr>
        <w:pBdr>
          <w:top w:val="nil"/>
          <w:left w:val="nil"/>
          <w:bottom w:val="nil"/>
          <w:right w:val="nil"/>
          <w:between w:val="nil"/>
        </w:pBdr>
        <w:tabs>
          <w:tab w:val="left" w:pos="630"/>
        </w:tabs>
        <w:spacing w:after="120" w:line="360" w:lineRule="auto"/>
        <w:ind w:left="0" w:firstLine="0"/>
        <w:jc w:val="both"/>
        <w:rPr>
          <w:rFonts w:ascii="Arial" w:hAnsi="Arial" w:cs="Arial"/>
          <w:color w:val="010000"/>
          <w:sz w:val="20"/>
        </w:rPr>
      </w:pPr>
      <w:r w:rsidRPr="00CE2156">
        <w:rPr>
          <w:rFonts w:ascii="Arial" w:hAnsi="Arial" w:cs="Arial"/>
          <w:color w:val="010000"/>
          <w:sz w:val="20"/>
        </w:rPr>
        <w:t>Number of shares not fully offered due to existing shareholders not exercising their buying rights or not fully exercising their buying rights: 16,261,530 shares</w:t>
      </w:r>
    </w:p>
    <w:p w14:paraId="0000000D" w14:textId="789B1A01" w:rsidR="00A43B76" w:rsidRPr="00CE2156" w:rsidRDefault="00CE2156" w:rsidP="003965C8">
      <w:pPr>
        <w:pBdr>
          <w:top w:val="nil"/>
          <w:left w:val="nil"/>
          <w:bottom w:val="nil"/>
          <w:right w:val="nil"/>
          <w:between w:val="nil"/>
        </w:pBdr>
        <w:tabs>
          <w:tab w:val="left" w:pos="630"/>
        </w:tabs>
        <w:spacing w:after="120" w:line="360" w:lineRule="auto"/>
        <w:jc w:val="both"/>
        <w:rPr>
          <w:rFonts w:ascii="Arial" w:eastAsia="Arial" w:hAnsi="Arial" w:cs="Arial"/>
          <w:color w:val="010000"/>
          <w:sz w:val="20"/>
          <w:szCs w:val="20"/>
        </w:rPr>
      </w:pPr>
      <w:proofErr w:type="gramStart"/>
      <w:r w:rsidRPr="00CE2156">
        <w:rPr>
          <w:rFonts w:ascii="Arial" w:hAnsi="Arial" w:cs="Arial"/>
          <w:color w:val="010000"/>
          <w:sz w:val="20"/>
        </w:rPr>
        <w:t>‎‎Article 2.</w:t>
      </w:r>
      <w:proofErr w:type="gramEnd"/>
      <w:r w:rsidRPr="00CE2156">
        <w:rPr>
          <w:rFonts w:ascii="Arial" w:hAnsi="Arial" w:cs="Arial"/>
          <w:color w:val="010000"/>
          <w:sz w:val="20"/>
        </w:rPr>
        <w:t xml:space="preserve"> Approve on continuing to distribute/offer the number of share</w:t>
      </w:r>
      <w:r w:rsidR="00BE07E9" w:rsidRPr="00CE2156">
        <w:rPr>
          <w:rFonts w:ascii="Arial" w:hAnsi="Arial" w:cs="Arial"/>
          <w:color w:val="010000"/>
          <w:sz w:val="20"/>
        </w:rPr>
        <w:t>s</w:t>
      </w:r>
      <w:r w:rsidRPr="00CE2156">
        <w:rPr>
          <w:rFonts w:ascii="Arial" w:hAnsi="Arial" w:cs="Arial"/>
          <w:color w:val="010000"/>
          <w:sz w:val="20"/>
        </w:rPr>
        <w:t xml:space="preserve"> not fully offered due to existing shareholders not exercising their buying rights or not fully exercising their buying rights to other investors with the following contents:</w:t>
      </w:r>
    </w:p>
    <w:p w14:paraId="0000000E" w14:textId="4B903EB1" w:rsidR="00A43B76" w:rsidRPr="00CE2156" w:rsidRDefault="005D6AF0" w:rsidP="003965C8">
      <w:pPr>
        <w:numPr>
          <w:ilvl w:val="0"/>
          <w:numId w:val="2"/>
        </w:numPr>
        <w:pBdr>
          <w:top w:val="nil"/>
          <w:left w:val="nil"/>
          <w:bottom w:val="nil"/>
          <w:right w:val="nil"/>
          <w:between w:val="nil"/>
        </w:pBdr>
        <w:tabs>
          <w:tab w:val="left" w:pos="630"/>
        </w:tabs>
        <w:spacing w:after="120" w:line="360" w:lineRule="auto"/>
        <w:ind w:left="0" w:firstLine="0"/>
        <w:jc w:val="both"/>
        <w:rPr>
          <w:rFonts w:ascii="Arial" w:hAnsi="Arial" w:cs="Arial"/>
          <w:color w:val="010000"/>
          <w:sz w:val="20"/>
        </w:rPr>
      </w:pPr>
      <w:bookmarkStart w:id="0" w:name="_GoBack"/>
      <w:bookmarkEnd w:id="0"/>
      <w:r w:rsidRPr="00CE2156">
        <w:rPr>
          <w:rFonts w:ascii="Arial" w:hAnsi="Arial" w:cs="Arial"/>
          <w:color w:val="010000"/>
          <w:sz w:val="20"/>
        </w:rPr>
        <w:t>Number of unsold shares distributed/offered to other investors</w:t>
      </w:r>
      <w:r w:rsidR="00CE2156" w:rsidRPr="00CE2156">
        <w:rPr>
          <w:rFonts w:ascii="Arial" w:hAnsi="Arial" w:cs="Arial"/>
          <w:color w:val="010000"/>
          <w:sz w:val="20"/>
        </w:rPr>
        <w:t>: 16,261,530 shares</w:t>
      </w:r>
    </w:p>
    <w:p w14:paraId="0000000F" w14:textId="77777777" w:rsidR="00A43B76" w:rsidRPr="00CE2156" w:rsidRDefault="00CE2156" w:rsidP="003965C8">
      <w:pPr>
        <w:numPr>
          <w:ilvl w:val="0"/>
          <w:numId w:val="2"/>
        </w:numPr>
        <w:pBdr>
          <w:top w:val="nil"/>
          <w:left w:val="nil"/>
          <w:bottom w:val="nil"/>
          <w:right w:val="nil"/>
          <w:between w:val="nil"/>
        </w:pBdr>
        <w:tabs>
          <w:tab w:val="left" w:pos="630"/>
        </w:tabs>
        <w:spacing w:after="120" w:line="360" w:lineRule="auto"/>
        <w:ind w:left="0" w:firstLine="0"/>
        <w:jc w:val="both"/>
        <w:rPr>
          <w:rFonts w:ascii="Arial" w:hAnsi="Arial" w:cs="Arial"/>
          <w:color w:val="010000"/>
          <w:sz w:val="20"/>
        </w:rPr>
      </w:pPr>
      <w:r w:rsidRPr="00CE2156">
        <w:rPr>
          <w:rFonts w:ascii="Arial" w:hAnsi="Arial" w:cs="Arial"/>
          <w:color w:val="010000"/>
          <w:sz w:val="20"/>
        </w:rPr>
        <w:t>Offering price for shares not fully offered: VND10,000/share;</w:t>
      </w:r>
    </w:p>
    <w:p w14:paraId="00000010" w14:textId="77777777" w:rsidR="00A43B76" w:rsidRPr="00CE2156" w:rsidRDefault="00CE2156" w:rsidP="003965C8">
      <w:pPr>
        <w:numPr>
          <w:ilvl w:val="0"/>
          <w:numId w:val="2"/>
        </w:numPr>
        <w:pBdr>
          <w:top w:val="nil"/>
          <w:left w:val="nil"/>
          <w:bottom w:val="nil"/>
          <w:right w:val="nil"/>
          <w:between w:val="nil"/>
        </w:pBdr>
        <w:tabs>
          <w:tab w:val="left" w:pos="630"/>
        </w:tabs>
        <w:spacing w:after="120" w:line="360" w:lineRule="auto"/>
        <w:ind w:left="0" w:firstLine="0"/>
        <w:jc w:val="both"/>
        <w:rPr>
          <w:rFonts w:ascii="Arial" w:hAnsi="Arial" w:cs="Arial"/>
          <w:color w:val="010000"/>
          <w:sz w:val="20"/>
        </w:rPr>
      </w:pPr>
      <w:r w:rsidRPr="00CE2156">
        <w:rPr>
          <w:rFonts w:ascii="Arial" w:hAnsi="Arial" w:cs="Arial"/>
          <w:color w:val="010000"/>
          <w:sz w:val="20"/>
        </w:rPr>
        <w:t>Criteria for selecting investors to buy shares not fully offered: Investors contributing to the development of the Company, wishing to buy shares not fully offered, and having the financial capacity to pay for the shares distributed by the Company.</w:t>
      </w:r>
    </w:p>
    <w:p w14:paraId="00000011" w14:textId="76C0CE78" w:rsidR="00A43B76" w:rsidRPr="00CE2156" w:rsidRDefault="00CE2156" w:rsidP="003965C8">
      <w:pPr>
        <w:numPr>
          <w:ilvl w:val="0"/>
          <w:numId w:val="2"/>
        </w:numPr>
        <w:pBdr>
          <w:top w:val="nil"/>
          <w:left w:val="nil"/>
          <w:bottom w:val="nil"/>
          <w:right w:val="nil"/>
          <w:between w:val="nil"/>
        </w:pBdr>
        <w:tabs>
          <w:tab w:val="left" w:pos="630"/>
        </w:tabs>
        <w:spacing w:after="120" w:line="360" w:lineRule="auto"/>
        <w:ind w:left="0" w:firstLine="0"/>
        <w:jc w:val="both"/>
        <w:rPr>
          <w:rFonts w:ascii="Arial" w:hAnsi="Arial" w:cs="Arial"/>
          <w:color w:val="010000"/>
          <w:sz w:val="20"/>
        </w:rPr>
      </w:pPr>
      <w:r w:rsidRPr="00CE2156">
        <w:rPr>
          <w:rFonts w:ascii="Arial" w:hAnsi="Arial" w:cs="Arial"/>
          <w:color w:val="010000"/>
          <w:sz w:val="20"/>
        </w:rPr>
        <w:t xml:space="preserve">Transfer restriction: All shares not fully offered that are distributed/offered to the above </w:t>
      </w:r>
      <w:proofErr w:type="gramStart"/>
      <w:r w:rsidRPr="00CE2156">
        <w:rPr>
          <w:rFonts w:ascii="Arial" w:hAnsi="Arial" w:cs="Arial"/>
          <w:color w:val="010000"/>
          <w:sz w:val="20"/>
        </w:rPr>
        <w:t>investors</w:t>
      </w:r>
      <w:proofErr w:type="gramEnd"/>
      <w:r w:rsidRPr="00CE2156">
        <w:rPr>
          <w:rFonts w:ascii="Arial" w:hAnsi="Arial" w:cs="Arial"/>
          <w:color w:val="010000"/>
          <w:sz w:val="20"/>
        </w:rPr>
        <w:t xml:space="preserve"> will be restricted from transfer within 01 year from the completion date of the offering.</w:t>
      </w:r>
    </w:p>
    <w:p w14:paraId="00000012" w14:textId="77777777" w:rsidR="00A43B76" w:rsidRPr="00CE2156" w:rsidRDefault="00CE2156" w:rsidP="003965C8">
      <w:pPr>
        <w:numPr>
          <w:ilvl w:val="0"/>
          <w:numId w:val="2"/>
        </w:numPr>
        <w:pBdr>
          <w:top w:val="nil"/>
          <w:left w:val="nil"/>
          <w:bottom w:val="nil"/>
          <w:right w:val="nil"/>
          <w:between w:val="nil"/>
        </w:pBdr>
        <w:tabs>
          <w:tab w:val="left" w:pos="630"/>
          <w:tab w:val="left" w:pos="2194"/>
        </w:tabs>
        <w:spacing w:after="120" w:line="360" w:lineRule="auto"/>
        <w:ind w:left="0" w:firstLine="0"/>
        <w:jc w:val="both"/>
        <w:rPr>
          <w:rFonts w:ascii="Arial" w:hAnsi="Arial" w:cs="Arial"/>
          <w:color w:val="010000"/>
          <w:sz w:val="20"/>
        </w:rPr>
      </w:pPr>
      <w:r w:rsidRPr="00CE2156">
        <w:rPr>
          <w:rFonts w:ascii="Arial" w:hAnsi="Arial" w:cs="Arial"/>
          <w:color w:val="010000"/>
          <w:sz w:val="20"/>
        </w:rPr>
        <w:t>The deadline and procedures for purchase registration and payment for shares not fully offered:</w:t>
      </w:r>
    </w:p>
    <w:p w14:paraId="00000013" w14:textId="77777777" w:rsidR="00A43B76" w:rsidRPr="00CE2156" w:rsidRDefault="00CE2156" w:rsidP="003965C8">
      <w:pPr>
        <w:numPr>
          <w:ilvl w:val="0"/>
          <w:numId w:val="3"/>
        </w:numPr>
        <w:pBdr>
          <w:top w:val="nil"/>
          <w:left w:val="nil"/>
          <w:bottom w:val="nil"/>
          <w:right w:val="nil"/>
          <w:between w:val="nil"/>
        </w:pBdr>
        <w:tabs>
          <w:tab w:val="left" w:pos="630"/>
          <w:tab w:val="left" w:pos="2025"/>
        </w:tabs>
        <w:spacing w:after="120" w:line="360" w:lineRule="auto"/>
        <w:ind w:left="0" w:firstLine="0"/>
        <w:jc w:val="both"/>
        <w:rPr>
          <w:rFonts w:ascii="Arial" w:hAnsi="Arial" w:cs="Arial"/>
          <w:color w:val="010000"/>
          <w:sz w:val="20"/>
        </w:rPr>
      </w:pPr>
      <w:r w:rsidRPr="00CE2156">
        <w:rPr>
          <w:rFonts w:ascii="Arial" w:hAnsi="Arial" w:cs="Arial"/>
          <w:color w:val="010000"/>
          <w:sz w:val="20"/>
        </w:rPr>
        <w:t>The deadline for purchase registration and payment: From August 26, 2024 to August 30, 2024</w:t>
      </w:r>
    </w:p>
    <w:p w14:paraId="00000014" w14:textId="5DBDC74E" w:rsidR="00A43B76" w:rsidRPr="00CE2156" w:rsidRDefault="00CE2156" w:rsidP="003965C8">
      <w:pPr>
        <w:numPr>
          <w:ilvl w:val="0"/>
          <w:numId w:val="3"/>
        </w:numPr>
        <w:pBdr>
          <w:top w:val="nil"/>
          <w:left w:val="nil"/>
          <w:bottom w:val="nil"/>
          <w:right w:val="nil"/>
          <w:between w:val="nil"/>
        </w:pBdr>
        <w:tabs>
          <w:tab w:val="left" w:pos="630"/>
          <w:tab w:val="left" w:pos="2025"/>
        </w:tabs>
        <w:spacing w:after="120" w:line="360" w:lineRule="auto"/>
        <w:ind w:left="0" w:firstLine="0"/>
        <w:jc w:val="both"/>
        <w:rPr>
          <w:rFonts w:ascii="Arial" w:hAnsi="Arial" w:cs="Arial"/>
          <w:color w:val="010000"/>
          <w:sz w:val="20"/>
        </w:rPr>
      </w:pPr>
      <w:r w:rsidRPr="00CE2156">
        <w:rPr>
          <w:rFonts w:ascii="Arial" w:hAnsi="Arial" w:cs="Arial"/>
          <w:color w:val="010000"/>
          <w:sz w:val="20"/>
        </w:rPr>
        <w:t xml:space="preserve">Payment form: By bank transfer in </w:t>
      </w:r>
      <w:r w:rsidR="005D6AF0" w:rsidRPr="00CE2156">
        <w:rPr>
          <w:rFonts w:ascii="Arial" w:hAnsi="Arial" w:cs="Arial"/>
          <w:color w:val="010000"/>
          <w:sz w:val="20"/>
        </w:rPr>
        <w:t>VND</w:t>
      </w:r>
      <w:r w:rsidRPr="00CE2156">
        <w:rPr>
          <w:rFonts w:ascii="Arial" w:hAnsi="Arial" w:cs="Arial"/>
          <w:color w:val="010000"/>
          <w:sz w:val="20"/>
        </w:rPr>
        <w:t xml:space="preserve"> into the designated account of </w:t>
      </w:r>
      <w:proofErr w:type="spellStart"/>
      <w:r w:rsidR="005D6AF0" w:rsidRPr="00CE2156">
        <w:rPr>
          <w:rFonts w:ascii="Arial" w:hAnsi="Arial" w:cs="Arial"/>
          <w:color w:val="010000"/>
          <w:sz w:val="20"/>
        </w:rPr>
        <w:t>VietCredit</w:t>
      </w:r>
      <w:proofErr w:type="spellEnd"/>
      <w:r w:rsidR="005D6AF0" w:rsidRPr="00CE2156">
        <w:rPr>
          <w:rFonts w:ascii="Arial" w:hAnsi="Arial" w:cs="Arial"/>
          <w:color w:val="010000"/>
          <w:sz w:val="20"/>
        </w:rPr>
        <w:t xml:space="preserve"> Finance Joint Stock Company</w:t>
      </w:r>
      <w:r w:rsidRPr="00CE2156">
        <w:rPr>
          <w:rFonts w:ascii="Arial" w:hAnsi="Arial" w:cs="Arial"/>
          <w:color w:val="010000"/>
          <w:sz w:val="20"/>
        </w:rPr>
        <w:t xml:space="preserve">. </w:t>
      </w:r>
      <w:r w:rsidR="005D6AF0" w:rsidRPr="00CE2156">
        <w:rPr>
          <w:rFonts w:ascii="Arial" w:hAnsi="Arial" w:cs="Arial"/>
          <w:color w:val="010000"/>
          <w:sz w:val="20"/>
        </w:rPr>
        <w:t>T</w:t>
      </w:r>
      <w:r w:rsidRPr="00CE2156">
        <w:rPr>
          <w:rFonts w:ascii="Arial" w:hAnsi="Arial" w:cs="Arial"/>
          <w:color w:val="010000"/>
          <w:sz w:val="20"/>
        </w:rPr>
        <w:t xml:space="preserve">he investors only pay a maximum amount equal to the value of the shares </w:t>
      </w:r>
      <w:r w:rsidRPr="00CE2156">
        <w:rPr>
          <w:rFonts w:ascii="Arial" w:hAnsi="Arial" w:cs="Arial"/>
          <w:color w:val="010000"/>
          <w:sz w:val="20"/>
        </w:rPr>
        <w:lastRenderedPageBreak/>
        <w:t>purchased at a par value of VND10,000/share. Information of the designated account for purchase payment is as follows:</w:t>
      </w:r>
    </w:p>
    <w:p w14:paraId="00000015" w14:textId="29BD997B" w:rsidR="00A43B76" w:rsidRPr="00CE2156" w:rsidRDefault="00CE2156" w:rsidP="003965C8">
      <w:pPr>
        <w:pBdr>
          <w:top w:val="nil"/>
          <w:left w:val="nil"/>
          <w:bottom w:val="nil"/>
          <w:right w:val="nil"/>
          <w:between w:val="nil"/>
        </w:pBdr>
        <w:tabs>
          <w:tab w:val="left" w:pos="630"/>
        </w:tabs>
        <w:spacing w:after="120" w:line="360" w:lineRule="auto"/>
        <w:jc w:val="both"/>
        <w:rPr>
          <w:rFonts w:ascii="Arial" w:eastAsia="Arial" w:hAnsi="Arial" w:cs="Arial"/>
          <w:color w:val="010000"/>
          <w:sz w:val="20"/>
          <w:szCs w:val="20"/>
        </w:rPr>
      </w:pPr>
      <w:r w:rsidRPr="00CE2156">
        <w:rPr>
          <w:rFonts w:ascii="Arial" w:hAnsi="Arial" w:cs="Arial"/>
          <w:color w:val="010000"/>
          <w:sz w:val="20"/>
        </w:rPr>
        <w:t xml:space="preserve">Account name: </w:t>
      </w:r>
      <w:proofErr w:type="spellStart"/>
      <w:r w:rsidR="005D6AF0" w:rsidRPr="00CE2156">
        <w:rPr>
          <w:rFonts w:ascii="Arial" w:hAnsi="Arial" w:cs="Arial"/>
          <w:color w:val="010000"/>
          <w:sz w:val="20"/>
        </w:rPr>
        <w:t>VietCredit</w:t>
      </w:r>
      <w:proofErr w:type="spellEnd"/>
      <w:r w:rsidR="005D6AF0" w:rsidRPr="00CE2156">
        <w:rPr>
          <w:rFonts w:ascii="Arial" w:hAnsi="Arial" w:cs="Arial"/>
          <w:color w:val="010000"/>
          <w:sz w:val="20"/>
        </w:rPr>
        <w:t xml:space="preserve"> Finance Joint Stock Company</w:t>
      </w:r>
    </w:p>
    <w:p w14:paraId="00000016" w14:textId="1432B4BC" w:rsidR="00A43B76" w:rsidRPr="00CE2156" w:rsidRDefault="00CE2156" w:rsidP="003965C8">
      <w:pPr>
        <w:pBdr>
          <w:top w:val="nil"/>
          <w:left w:val="nil"/>
          <w:bottom w:val="nil"/>
          <w:right w:val="nil"/>
          <w:between w:val="nil"/>
        </w:pBdr>
        <w:tabs>
          <w:tab w:val="left" w:pos="630"/>
        </w:tabs>
        <w:spacing w:after="120" w:line="360" w:lineRule="auto"/>
        <w:jc w:val="both"/>
        <w:rPr>
          <w:rFonts w:ascii="Arial" w:eastAsia="Arial" w:hAnsi="Arial" w:cs="Arial"/>
          <w:color w:val="010000"/>
          <w:sz w:val="20"/>
          <w:szCs w:val="20"/>
        </w:rPr>
      </w:pPr>
      <w:r w:rsidRPr="00CE2156">
        <w:rPr>
          <w:rFonts w:ascii="Arial" w:hAnsi="Arial" w:cs="Arial"/>
          <w:color w:val="010000"/>
          <w:sz w:val="20"/>
        </w:rPr>
        <w:t xml:space="preserve">Account </w:t>
      </w:r>
      <w:r w:rsidR="005D6AF0" w:rsidRPr="00CE2156">
        <w:rPr>
          <w:rFonts w:ascii="Arial" w:hAnsi="Arial" w:cs="Arial"/>
          <w:color w:val="010000"/>
          <w:sz w:val="20"/>
        </w:rPr>
        <w:t xml:space="preserve">No. </w:t>
      </w:r>
      <w:r w:rsidRPr="00CE2156">
        <w:rPr>
          <w:rFonts w:ascii="Arial" w:hAnsi="Arial" w:cs="Arial"/>
          <w:color w:val="010000"/>
          <w:sz w:val="20"/>
        </w:rPr>
        <w:t>: 0043333898989</w:t>
      </w:r>
    </w:p>
    <w:p w14:paraId="00000017" w14:textId="636B5653" w:rsidR="00A43B76" w:rsidRPr="00CE2156" w:rsidRDefault="00CE2156" w:rsidP="003965C8">
      <w:pPr>
        <w:pBdr>
          <w:top w:val="nil"/>
          <w:left w:val="nil"/>
          <w:bottom w:val="nil"/>
          <w:right w:val="nil"/>
          <w:between w:val="nil"/>
        </w:pBdr>
        <w:tabs>
          <w:tab w:val="left" w:pos="630"/>
        </w:tabs>
        <w:spacing w:after="120" w:line="360" w:lineRule="auto"/>
        <w:jc w:val="both"/>
        <w:rPr>
          <w:rFonts w:ascii="Arial" w:eastAsia="Arial" w:hAnsi="Arial" w:cs="Arial"/>
          <w:color w:val="010000"/>
          <w:sz w:val="20"/>
          <w:szCs w:val="20"/>
        </w:rPr>
      </w:pPr>
      <w:r w:rsidRPr="00CE2156">
        <w:rPr>
          <w:rFonts w:ascii="Arial" w:hAnsi="Arial" w:cs="Arial"/>
          <w:color w:val="010000"/>
          <w:sz w:val="20"/>
        </w:rPr>
        <w:t xml:space="preserve">At: Viet Capital </w:t>
      </w:r>
      <w:r w:rsidR="005D6AF0" w:rsidRPr="00CE2156">
        <w:rPr>
          <w:rFonts w:ascii="Arial" w:hAnsi="Arial" w:cs="Arial"/>
          <w:color w:val="010000"/>
          <w:sz w:val="20"/>
        </w:rPr>
        <w:t>Bank</w:t>
      </w:r>
      <w:r w:rsidRPr="00CE2156">
        <w:rPr>
          <w:rFonts w:ascii="Arial" w:hAnsi="Arial" w:cs="Arial"/>
          <w:color w:val="010000"/>
          <w:sz w:val="20"/>
        </w:rPr>
        <w:t xml:space="preserve"> - Hanoi Branch.</w:t>
      </w:r>
    </w:p>
    <w:p w14:paraId="00000018" w14:textId="1FF00FE5" w:rsidR="00A43B76" w:rsidRPr="00CE2156" w:rsidRDefault="00CE2156" w:rsidP="003965C8">
      <w:pPr>
        <w:pBdr>
          <w:top w:val="nil"/>
          <w:left w:val="nil"/>
          <w:bottom w:val="nil"/>
          <w:right w:val="nil"/>
          <w:between w:val="nil"/>
        </w:pBdr>
        <w:tabs>
          <w:tab w:val="left" w:pos="630"/>
        </w:tabs>
        <w:spacing w:after="120" w:line="360" w:lineRule="auto"/>
        <w:jc w:val="both"/>
        <w:rPr>
          <w:rFonts w:ascii="Arial" w:eastAsia="Arial" w:hAnsi="Arial" w:cs="Arial"/>
          <w:color w:val="010000"/>
          <w:sz w:val="20"/>
          <w:szCs w:val="20"/>
        </w:rPr>
      </w:pPr>
      <w:r w:rsidRPr="00CE2156">
        <w:rPr>
          <w:rFonts w:ascii="Arial" w:hAnsi="Arial" w:cs="Arial"/>
          <w:color w:val="010000"/>
          <w:sz w:val="20"/>
        </w:rPr>
        <w:t xml:space="preserve">Transfer content: </w:t>
      </w:r>
      <w:proofErr w:type="spellStart"/>
      <w:r w:rsidRPr="00CE2156">
        <w:rPr>
          <w:rFonts w:ascii="Arial" w:hAnsi="Arial" w:cs="Arial"/>
          <w:color w:val="010000"/>
          <w:sz w:val="20"/>
        </w:rPr>
        <w:t>Nop</w:t>
      </w:r>
      <w:proofErr w:type="spellEnd"/>
      <w:r w:rsidRPr="00CE2156">
        <w:rPr>
          <w:rFonts w:ascii="Arial" w:hAnsi="Arial" w:cs="Arial"/>
          <w:color w:val="010000"/>
          <w:sz w:val="20"/>
        </w:rPr>
        <w:t xml:space="preserve"> </w:t>
      </w:r>
      <w:proofErr w:type="spellStart"/>
      <w:r w:rsidRPr="00CE2156">
        <w:rPr>
          <w:rFonts w:ascii="Arial" w:hAnsi="Arial" w:cs="Arial"/>
          <w:color w:val="010000"/>
          <w:sz w:val="20"/>
        </w:rPr>
        <w:t>tien</w:t>
      </w:r>
      <w:proofErr w:type="spellEnd"/>
      <w:r w:rsidRPr="00CE2156">
        <w:rPr>
          <w:rFonts w:ascii="Arial" w:hAnsi="Arial" w:cs="Arial"/>
          <w:color w:val="010000"/>
          <w:sz w:val="20"/>
        </w:rPr>
        <w:t xml:space="preserve"> </w:t>
      </w:r>
      <w:proofErr w:type="spellStart"/>
      <w:r w:rsidRPr="00CE2156">
        <w:rPr>
          <w:rFonts w:ascii="Arial" w:hAnsi="Arial" w:cs="Arial"/>
          <w:color w:val="010000"/>
          <w:sz w:val="20"/>
        </w:rPr>
        <w:t>mua</w:t>
      </w:r>
      <w:proofErr w:type="spellEnd"/>
      <w:r w:rsidRPr="00CE2156">
        <w:rPr>
          <w:rFonts w:ascii="Arial" w:hAnsi="Arial" w:cs="Arial"/>
          <w:color w:val="010000"/>
          <w:sz w:val="20"/>
        </w:rPr>
        <w:t xml:space="preserve"> [number of shares] co </w:t>
      </w:r>
      <w:proofErr w:type="spellStart"/>
      <w:r w:rsidRPr="00CE2156">
        <w:rPr>
          <w:rFonts w:ascii="Arial" w:hAnsi="Arial" w:cs="Arial"/>
          <w:color w:val="010000"/>
          <w:sz w:val="20"/>
        </w:rPr>
        <w:t>phan</w:t>
      </w:r>
      <w:proofErr w:type="spellEnd"/>
      <w:r w:rsidRPr="00CE2156">
        <w:rPr>
          <w:rFonts w:ascii="Arial" w:hAnsi="Arial" w:cs="Arial"/>
          <w:color w:val="010000"/>
          <w:sz w:val="20"/>
        </w:rPr>
        <w:t xml:space="preserve"> TIN </w:t>
      </w:r>
      <w:proofErr w:type="spellStart"/>
      <w:r w:rsidRPr="00CE2156">
        <w:rPr>
          <w:rFonts w:ascii="Arial" w:hAnsi="Arial" w:cs="Arial"/>
          <w:color w:val="010000"/>
          <w:sz w:val="20"/>
        </w:rPr>
        <w:t>cho</w:t>
      </w:r>
      <w:proofErr w:type="spellEnd"/>
      <w:r w:rsidRPr="00CE2156">
        <w:rPr>
          <w:rFonts w:ascii="Arial" w:hAnsi="Arial" w:cs="Arial"/>
          <w:color w:val="010000"/>
          <w:sz w:val="20"/>
        </w:rPr>
        <w:t xml:space="preserve"> [Full name/Organization name] So DKSH [Ownership Registration </w:t>
      </w:r>
      <w:r w:rsidR="00BE07E9" w:rsidRPr="00CE2156">
        <w:rPr>
          <w:rFonts w:ascii="Arial" w:hAnsi="Arial" w:cs="Arial"/>
          <w:color w:val="010000"/>
          <w:sz w:val="20"/>
        </w:rPr>
        <w:t>No</w:t>
      </w:r>
      <w:proofErr w:type="gramStart"/>
      <w:r w:rsidR="00BE07E9" w:rsidRPr="00CE2156">
        <w:rPr>
          <w:rFonts w:ascii="Arial" w:hAnsi="Arial" w:cs="Arial"/>
          <w:color w:val="010000"/>
          <w:sz w:val="20"/>
        </w:rPr>
        <w:t xml:space="preserve">. </w:t>
      </w:r>
      <w:r w:rsidRPr="00CE2156">
        <w:rPr>
          <w:rFonts w:ascii="Arial" w:hAnsi="Arial" w:cs="Arial"/>
          <w:color w:val="010000"/>
          <w:sz w:val="20"/>
        </w:rPr>
        <w:t>]</w:t>
      </w:r>
      <w:proofErr w:type="gramEnd"/>
      <w:r w:rsidRPr="00CE2156">
        <w:rPr>
          <w:rFonts w:ascii="Arial" w:hAnsi="Arial" w:cs="Arial"/>
          <w:color w:val="010000"/>
          <w:sz w:val="20"/>
        </w:rPr>
        <w:t xml:space="preserve"> DT [Contact telephone number]</w:t>
      </w:r>
    </w:p>
    <w:p w14:paraId="00000019" w14:textId="5493E2F6" w:rsidR="00A43B76" w:rsidRPr="00CE2156" w:rsidRDefault="00CE2156" w:rsidP="003965C8">
      <w:pPr>
        <w:pBdr>
          <w:top w:val="nil"/>
          <w:left w:val="nil"/>
          <w:bottom w:val="nil"/>
          <w:right w:val="nil"/>
          <w:between w:val="nil"/>
        </w:pBdr>
        <w:tabs>
          <w:tab w:val="left" w:pos="630"/>
        </w:tabs>
        <w:spacing w:after="120" w:line="360" w:lineRule="auto"/>
        <w:jc w:val="both"/>
        <w:rPr>
          <w:rFonts w:ascii="Arial" w:eastAsia="Arial" w:hAnsi="Arial" w:cs="Arial"/>
          <w:color w:val="010000"/>
          <w:sz w:val="20"/>
          <w:szCs w:val="20"/>
        </w:rPr>
      </w:pPr>
      <w:r w:rsidRPr="00CE2156">
        <w:rPr>
          <w:rFonts w:ascii="Arial" w:hAnsi="Arial" w:cs="Arial"/>
          <w:color w:val="010000"/>
          <w:sz w:val="20"/>
        </w:rPr>
        <w:t xml:space="preserve">(For example: </w:t>
      </w:r>
      <w:proofErr w:type="spellStart"/>
      <w:r w:rsidRPr="00CE2156">
        <w:rPr>
          <w:rFonts w:ascii="Arial" w:hAnsi="Arial" w:cs="Arial"/>
          <w:color w:val="010000"/>
          <w:sz w:val="20"/>
        </w:rPr>
        <w:t>Nop</w:t>
      </w:r>
      <w:proofErr w:type="spellEnd"/>
      <w:r w:rsidRPr="00CE2156">
        <w:rPr>
          <w:rFonts w:ascii="Arial" w:hAnsi="Arial" w:cs="Arial"/>
          <w:color w:val="010000"/>
          <w:sz w:val="20"/>
        </w:rPr>
        <w:t xml:space="preserve"> </w:t>
      </w:r>
      <w:proofErr w:type="spellStart"/>
      <w:r w:rsidRPr="00CE2156">
        <w:rPr>
          <w:rFonts w:ascii="Arial" w:hAnsi="Arial" w:cs="Arial"/>
          <w:color w:val="010000"/>
          <w:sz w:val="20"/>
        </w:rPr>
        <w:t>tien</w:t>
      </w:r>
      <w:proofErr w:type="spellEnd"/>
      <w:r w:rsidRPr="00CE2156">
        <w:rPr>
          <w:rFonts w:ascii="Arial" w:hAnsi="Arial" w:cs="Arial"/>
          <w:color w:val="010000"/>
          <w:sz w:val="20"/>
        </w:rPr>
        <w:t xml:space="preserve"> </w:t>
      </w:r>
      <w:proofErr w:type="spellStart"/>
      <w:r w:rsidRPr="00CE2156">
        <w:rPr>
          <w:rFonts w:ascii="Arial" w:hAnsi="Arial" w:cs="Arial"/>
          <w:color w:val="010000"/>
          <w:sz w:val="20"/>
        </w:rPr>
        <w:t>mua</w:t>
      </w:r>
      <w:proofErr w:type="spellEnd"/>
      <w:r w:rsidRPr="00CE2156">
        <w:rPr>
          <w:rFonts w:ascii="Arial" w:hAnsi="Arial" w:cs="Arial"/>
          <w:color w:val="010000"/>
          <w:sz w:val="20"/>
        </w:rPr>
        <w:t xml:space="preserve"> 1.000 co </w:t>
      </w:r>
      <w:proofErr w:type="spellStart"/>
      <w:r w:rsidRPr="00CE2156">
        <w:rPr>
          <w:rFonts w:ascii="Arial" w:hAnsi="Arial" w:cs="Arial"/>
          <w:color w:val="010000"/>
          <w:sz w:val="20"/>
        </w:rPr>
        <w:t>phan</w:t>
      </w:r>
      <w:proofErr w:type="spellEnd"/>
      <w:r w:rsidRPr="00CE2156">
        <w:rPr>
          <w:rFonts w:ascii="Arial" w:hAnsi="Arial" w:cs="Arial"/>
          <w:color w:val="010000"/>
          <w:sz w:val="20"/>
        </w:rPr>
        <w:t xml:space="preserve"> TIN </w:t>
      </w:r>
      <w:proofErr w:type="spellStart"/>
      <w:r w:rsidRPr="00CE2156">
        <w:rPr>
          <w:rFonts w:ascii="Arial" w:hAnsi="Arial" w:cs="Arial"/>
          <w:color w:val="010000"/>
          <w:sz w:val="20"/>
        </w:rPr>
        <w:t>cho</w:t>
      </w:r>
      <w:proofErr w:type="spellEnd"/>
      <w:r w:rsidRPr="00CE2156">
        <w:rPr>
          <w:rFonts w:ascii="Arial" w:hAnsi="Arial" w:cs="Arial"/>
          <w:color w:val="010000"/>
          <w:sz w:val="20"/>
        </w:rPr>
        <w:t xml:space="preserve"> Nguyen Van </w:t>
      </w:r>
      <w:proofErr w:type="gramStart"/>
      <w:r w:rsidRPr="00CE2156">
        <w:rPr>
          <w:rFonts w:ascii="Arial" w:hAnsi="Arial" w:cs="Arial"/>
          <w:color w:val="010000"/>
          <w:sz w:val="20"/>
        </w:rPr>
        <w:t>A</w:t>
      </w:r>
      <w:proofErr w:type="gramEnd"/>
      <w:r w:rsidRPr="00CE2156">
        <w:rPr>
          <w:rFonts w:ascii="Arial" w:hAnsi="Arial" w:cs="Arial"/>
          <w:color w:val="010000"/>
          <w:sz w:val="20"/>
        </w:rPr>
        <w:t xml:space="preserve"> So DKSH 012345678 DT 0901234567)</w:t>
      </w:r>
    </w:p>
    <w:p w14:paraId="0000001A" w14:textId="4876D939" w:rsidR="00A43B76" w:rsidRPr="00CE2156" w:rsidRDefault="00CE2156" w:rsidP="003965C8">
      <w:pPr>
        <w:pBdr>
          <w:top w:val="nil"/>
          <w:left w:val="nil"/>
          <w:bottom w:val="nil"/>
          <w:right w:val="nil"/>
          <w:between w:val="nil"/>
        </w:pBdr>
        <w:tabs>
          <w:tab w:val="left" w:pos="630"/>
        </w:tabs>
        <w:spacing w:after="120" w:line="360" w:lineRule="auto"/>
        <w:jc w:val="both"/>
        <w:rPr>
          <w:rFonts w:ascii="Arial" w:eastAsia="Arial" w:hAnsi="Arial" w:cs="Arial"/>
          <w:color w:val="010000"/>
          <w:sz w:val="20"/>
          <w:szCs w:val="20"/>
        </w:rPr>
      </w:pPr>
      <w:proofErr w:type="gramStart"/>
      <w:r w:rsidRPr="00CE2156">
        <w:rPr>
          <w:rFonts w:ascii="Arial" w:hAnsi="Arial" w:cs="Arial"/>
          <w:color w:val="010000"/>
          <w:sz w:val="20"/>
        </w:rPr>
        <w:t>‎‎Article 3.</w:t>
      </w:r>
      <w:proofErr w:type="gramEnd"/>
      <w:r w:rsidRPr="00CE2156">
        <w:rPr>
          <w:rFonts w:ascii="Arial" w:hAnsi="Arial" w:cs="Arial"/>
          <w:color w:val="010000"/>
          <w:sz w:val="20"/>
        </w:rPr>
        <w:t xml:space="preserve"> Assign/authorize the General Manager to search, and negotiate with the interested investors to submit to the Board of Directors for approval the list of eligible investors to be distributed/offered</w:t>
      </w:r>
      <w:r w:rsidR="002D1CE2" w:rsidRPr="00CE2156">
        <w:rPr>
          <w:rFonts w:ascii="Arial" w:hAnsi="Arial" w:cs="Arial"/>
          <w:color w:val="010000"/>
          <w:sz w:val="20"/>
        </w:rPr>
        <w:t xml:space="preserve"> the unsold shares</w:t>
      </w:r>
      <w:r w:rsidRPr="00CE2156">
        <w:rPr>
          <w:rFonts w:ascii="Arial" w:hAnsi="Arial" w:cs="Arial"/>
          <w:color w:val="010000"/>
          <w:sz w:val="20"/>
        </w:rPr>
        <w:t>, at the same time, decide, sign all documents, and implement necessary tasks to complete the procedures for distributing shares not fully offered according to the contents of Article 2 of this Resolution.</w:t>
      </w:r>
    </w:p>
    <w:p w14:paraId="0000001B" w14:textId="77777777" w:rsidR="00A43B76" w:rsidRPr="00CE2156" w:rsidRDefault="00CE2156" w:rsidP="003965C8">
      <w:pPr>
        <w:pBdr>
          <w:top w:val="nil"/>
          <w:left w:val="nil"/>
          <w:bottom w:val="nil"/>
          <w:right w:val="nil"/>
          <w:between w:val="nil"/>
        </w:pBdr>
        <w:tabs>
          <w:tab w:val="left" w:pos="630"/>
        </w:tabs>
        <w:spacing w:after="120" w:line="360" w:lineRule="auto"/>
        <w:jc w:val="both"/>
        <w:rPr>
          <w:rFonts w:ascii="Arial" w:eastAsia="Arial" w:hAnsi="Arial" w:cs="Arial"/>
          <w:color w:val="010000"/>
          <w:sz w:val="20"/>
          <w:szCs w:val="20"/>
        </w:rPr>
      </w:pPr>
      <w:proofErr w:type="gramStart"/>
      <w:r w:rsidRPr="00CE2156">
        <w:rPr>
          <w:rFonts w:ascii="Arial" w:hAnsi="Arial" w:cs="Arial"/>
          <w:color w:val="010000"/>
          <w:sz w:val="20"/>
        </w:rPr>
        <w:t>‎‎Article 4.</w:t>
      </w:r>
      <w:proofErr w:type="gramEnd"/>
      <w:r w:rsidRPr="00CE2156">
        <w:rPr>
          <w:rFonts w:ascii="Arial" w:hAnsi="Arial" w:cs="Arial"/>
          <w:color w:val="010000"/>
          <w:sz w:val="20"/>
        </w:rPr>
        <w:t xml:space="preserve"> This Resolution takes effect from the date of its signing. Members of the Board of Directors, members of the Executive Board, and relevant units are responsible for implementing this Resolution.</w:t>
      </w:r>
    </w:p>
    <w:sectPr w:rsidR="00A43B76" w:rsidRPr="00CE2156" w:rsidSect="00BE07E9">
      <w:pgSz w:w="11909" w:h="16840"/>
      <w:pgMar w:top="1440" w:right="1440" w:bottom="1440" w:left="1440" w:header="0" w:footer="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embedRegular r:id="rId1" w:fontKey="{DF20563B-84E9-4C25-8162-EAE8CA4120C4}"/>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embedRegular r:id="rId2" w:fontKey="{DF4CD3ED-CE8E-4751-A1AD-68BF0B5FF1CF}"/>
    <w:embedItalic r:id="rId3" w:fontKey="{9D0023F0-E326-476E-A211-6F57C3A150B0}"/>
  </w:font>
  <w:font w:name="Aptos Display">
    <w:charset w:val="00"/>
    <w:family w:val="swiss"/>
    <w:pitch w:val="variable"/>
    <w:sig w:usb0="20000287" w:usb1="00000003" w:usb2="00000000" w:usb3="00000000" w:csb0="0000019F" w:csb1="00000000"/>
    <w:embedRegular r:id="rId4" w:fontKey="{8B03ABAD-ADCA-48AB-AB1E-91C8033734B6}"/>
  </w:font>
  <w:font w:name="Aptos">
    <w:charset w:val="00"/>
    <w:family w:val="swiss"/>
    <w:pitch w:val="variable"/>
    <w:sig w:usb0="20000287" w:usb1="00000003" w:usb2="00000000" w:usb3="00000000" w:csb0="0000019F" w:csb1="00000000"/>
    <w:embedRegular r:id="rId5" w:fontKey="{6D1359F5-0575-427E-8B57-EA4584D9A6B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136CE"/>
    <w:multiLevelType w:val="multilevel"/>
    <w:tmpl w:val="1FEAD728"/>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22128F7"/>
    <w:multiLevelType w:val="multilevel"/>
    <w:tmpl w:val="A8B846B8"/>
    <w:lvl w:ilvl="0">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AE15E00"/>
    <w:multiLevelType w:val="multilevel"/>
    <w:tmpl w:val="00760D1A"/>
    <w:lvl w:ilvl="0">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60DD46FE"/>
    <w:multiLevelType w:val="multilevel"/>
    <w:tmpl w:val="6DBE84A6"/>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B76"/>
    <w:rsid w:val="002D1CE2"/>
    <w:rsid w:val="003965C8"/>
    <w:rsid w:val="00455797"/>
    <w:rsid w:val="005D6AF0"/>
    <w:rsid w:val="00A43B76"/>
    <w:rsid w:val="00BE07E9"/>
    <w:rsid w:val="00CE2156"/>
    <w:rsid w:val="00E76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2F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Other">
    <w:name w:val="Other_"/>
    <w:basedOn w:val="DefaultParagraphFont"/>
    <w:link w:val="Other0"/>
    <w:rPr>
      <w:rFonts w:ascii="Arial" w:eastAsia="Arial" w:hAnsi="Arial" w:cs="Arial"/>
      <w:b w:val="0"/>
      <w:bCs w:val="0"/>
      <w:i w:val="0"/>
      <w:iCs w:val="0"/>
      <w:smallCaps w:val="0"/>
      <w:strike w:val="0"/>
      <w:sz w:val="20"/>
      <w:szCs w:val="20"/>
      <w:u w:val="none"/>
      <w:shd w:val="clear" w:color="auto" w:fill="auto"/>
    </w:rPr>
  </w:style>
  <w:style w:type="character" w:customStyle="1" w:styleId="Heading20">
    <w:name w:val="Heading #2_"/>
    <w:basedOn w:val="DefaultParagraphFont"/>
    <w:link w:val="Heading21"/>
    <w:rPr>
      <w:rFonts w:ascii="Arial" w:eastAsia="Arial" w:hAnsi="Arial" w:cs="Arial"/>
      <w:b w:val="0"/>
      <w:bCs w:val="0"/>
      <w:i w:val="0"/>
      <w:iCs w:val="0"/>
      <w:smallCaps w:val="0"/>
      <w:strike w:val="0"/>
      <w:u w:val="none"/>
      <w:shd w:val="clear" w:color="auto" w:fill="auto"/>
    </w:rPr>
  </w:style>
  <w:style w:type="character" w:customStyle="1" w:styleId="BodyTextChar">
    <w:name w:val="Body Text Char"/>
    <w:basedOn w:val="DefaultParagraphFont"/>
    <w:link w:val="BodyText"/>
    <w:rPr>
      <w:rFonts w:ascii="Arial" w:eastAsia="Arial" w:hAnsi="Arial" w:cs="Arial"/>
      <w:b w:val="0"/>
      <w:bCs w:val="0"/>
      <w:i w:val="0"/>
      <w:iCs w:val="0"/>
      <w:smallCaps w:val="0"/>
      <w:strike w:val="0"/>
      <w:sz w:val="20"/>
      <w:szCs w:val="20"/>
      <w:u w:val="none"/>
      <w:shd w:val="clear" w:color="auto" w:fill="auto"/>
    </w:rPr>
  </w:style>
  <w:style w:type="character" w:customStyle="1" w:styleId="Heading10">
    <w:name w:val="Heading #1_"/>
    <w:basedOn w:val="DefaultParagraphFont"/>
    <w:link w:val="Heading11"/>
    <w:rPr>
      <w:rFonts w:ascii="Arial" w:eastAsia="Arial" w:hAnsi="Arial" w:cs="Arial"/>
      <w:b w:val="0"/>
      <w:bCs w:val="0"/>
      <w:i w:val="0"/>
      <w:iCs w:val="0"/>
      <w:smallCaps w:val="0"/>
      <w:strike w:val="0"/>
      <w:sz w:val="24"/>
      <w:szCs w:val="24"/>
      <w:u w:val="none"/>
      <w:shd w:val="clear" w:color="auto" w:fill="auto"/>
    </w:rPr>
  </w:style>
  <w:style w:type="character" w:customStyle="1" w:styleId="Bodytext2">
    <w:name w:val="Body text (2)_"/>
    <w:basedOn w:val="DefaultParagraphFont"/>
    <w:link w:val="Bodytext20"/>
    <w:rPr>
      <w:rFonts w:ascii="Arial" w:eastAsia="Arial" w:hAnsi="Arial" w:cs="Arial"/>
      <w:b w:val="0"/>
      <w:bCs w:val="0"/>
      <w:i/>
      <w:iCs/>
      <w:smallCaps w:val="0"/>
      <w:strike w:val="0"/>
      <w:sz w:val="18"/>
      <w:szCs w:val="18"/>
      <w:u w:val="none"/>
      <w:shd w:val="clear" w:color="auto" w:fill="auto"/>
    </w:rPr>
  </w:style>
  <w:style w:type="paragraph" w:customStyle="1" w:styleId="Other0">
    <w:name w:val="Other"/>
    <w:basedOn w:val="Normal"/>
    <w:link w:val="Other"/>
    <w:pPr>
      <w:spacing w:line="317" w:lineRule="auto"/>
      <w:ind w:firstLine="20"/>
    </w:pPr>
    <w:rPr>
      <w:rFonts w:ascii="Arial" w:eastAsia="Arial" w:hAnsi="Arial" w:cs="Arial"/>
      <w:sz w:val="20"/>
      <w:szCs w:val="20"/>
    </w:rPr>
  </w:style>
  <w:style w:type="paragraph" w:customStyle="1" w:styleId="Heading21">
    <w:name w:val="Heading #2"/>
    <w:basedOn w:val="Normal"/>
    <w:link w:val="Heading20"/>
    <w:pPr>
      <w:jc w:val="center"/>
      <w:outlineLvl w:val="1"/>
    </w:pPr>
    <w:rPr>
      <w:rFonts w:ascii="Arial" w:eastAsia="Arial" w:hAnsi="Arial" w:cs="Arial"/>
    </w:rPr>
  </w:style>
  <w:style w:type="paragraph" w:styleId="BodyText">
    <w:name w:val="Body Text"/>
    <w:basedOn w:val="Normal"/>
    <w:link w:val="BodyTextChar"/>
    <w:qFormat/>
    <w:pPr>
      <w:spacing w:line="317" w:lineRule="auto"/>
      <w:ind w:firstLine="20"/>
    </w:pPr>
    <w:rPr>
      <w:rFonts w:ascii="Arial" w:eastAsia="Arial" w:hAnsi="Arial" w:cs="Arial"/>
      <w:sz w:val="20"/>
      <w:szCs w:val="20"/>
    </w:rPr>
  </w:style>
  <w:style w:type="paragraph" w:customStyle="1" w:styleId="Heading11">
    <w:name w:val="Heading #1"/>
    <w:basedOn w:val="Normal"/>
    <w:link w:val="Heading10"/>
    <w:pPr>
      <w:jc w:val="center"/>
      <w:outlineLvl w:val="0"/>
    </w:pPr>
    <w:rPr>
      <w:rFonts w:ascii="Arial" w:eastAsia="Arial" w:hAnsi="Arial" w:cs="Arial"/>
    </w:rPr>
  </w:style>
  <w:style w:type="paragraph" w:customStyle="1" w:styleId="Bodytext20">
    <w:name w:val="Body text (2)"/>
    <w:basedOn w:val="Normal"/>
    <w:link w:val="Bodytext2"/>
    <w:pPr>
      <w:spacing w:line="278" w:lineRule="auto"/>
      <w:ind w:left="1840"/>
    </w:pPr>
    <w:rPr>
      <w:rFonts w:ascii="Arial" w:eastAsia="Arial" w:hAnsi="Arial" w:cs="Arial"/>
      <w:i/>
      <w:iCs/>
      <w:sz w:val="18"/>
      <w:szCs w:val="18"/>
    </w:rPr>
  </w:style>
  <w:style w:type="paragraph" w:styleId="NormalWeb">
    <w:name w:val="Normal (Web)"/>
    <w:basedOn w:val="Normal"/>
    <w:uiPriority w:val="99"/>
    <w:unhideWhenUsed/>
    <w:rsid w:val="00975D72"/>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Other">
    <w:name w:val="Other_"/>
    <w:basedOn w:val="DefaultParagraphFont"/>
    <w:link w:val="Other0"/>
    <w:rPr>
      <w:rFonts w:ascii="Arial" w:eastAsia="Arial" w:hAnsi="Arial" w:cs="Arial"/>
      <w:b w:val="0"/>
      <w:bCs w:val="0"/>
      <w:i w:val="0"/>
      <w:iCs w:val="0"/>
      <w:smallCaps w:val="0"/>
      <w:strike w:val="0"/>
      <w:sz w:val="20"/>
      <w:szCs w:val="20"/>
      <w:u w:val="none"/>
      <w:shd w:val="clear" w:color="auto" w:fill="auto"/>
    </w:rPr>
  </w:style>
  <w:style w:type="character" w:customStyle="1" w:styleId="Heading20">
    <w:name w:val="Heading #2_"/>
    <w:basedOn w:val="DefaultParagraphFont"/>
    <w:link w:val="Heading21"/>
    <w:rPr>
      <w:rFonts w:ascii="Arial" w:eastAsia="Arial" w:hAnsi="Arial" w:cs="Arial"/>
      <w:b w:val="0"/>
      <w:bCs w:val="0"/>
      <w:i w:val="0"/>
      <w:iCs w:val="0"/>
      <w:smallCaps w:val="0"/>
      <w:strike w:val="0"/>
      <w:u w:val="none"/>
      <w:shd w:val="clear" w:color="auto" w:fill="auto"/>
    </w:rPr>
  </w:style>
  <w:style w:type="character" w:customStyle="1" w:styleId="BodyTextChar">
    <w:name w:val="Body Text Char"/>
    <w:basedOn w:val="DefaultParagraphFont"/>
    <w:link w:val="BodyText"/>
    <w:rPr>
      <w:rFonts w:ascii="Arial" w:eastAsia="Arial" w:hAnsi="Arial" w:cs="Arial"/>
      <w:b w:val="0"/>
      <w:bCs w:val="0"/>
      <w:i w:val="0"/>
      <w:iCs w:val="0"/>
      <w:smallCaps w:val="0"/>
      <w:strike w:val="0"/>
      <w:sz w:val="20"/>
      <w:szCs w:val="20"/>
      <w:u w:val="none"/>
      <w:shd w:val="clear" w:color="auto" w:fill="auto"/>
    </w:rPr>
  </w:style>
  <w:style w:type="character" w:customStyle="1" w:styleId="Heading10">
    <w:name w:val="Heading #1_"/>
    <w:basedOn w:val="DefaultParagraphFont"/>
    <w:link w:val="Heading11"/>
    <w:rPr>
      <w:rFonts w:ascii="Arial" w:eastAsia="Arial" w:hAnsi="Arial" w:cs="Arial"/>
      <w:b w:val="0"/>
      <w:bCs w:val="0"/>
      <w:i w:val="0"/>
      <w:iCs w:val="0"/>
      <w:smallCaps w:val="0"/>
      <w:strike w:val="0"/>
      <w:sz w:val="24"/>
      <w:szCs w:val="24"/>
      <w:u w:val="none"/>
      <w:shd w:val="clear" w:color="auto" w:fill="auto"/>
    </w:rPr>
  </w:style>
  <w:style w:type="character" w:customStyle="1" w:styleId="Bodytext2">
    <w:name w:val="Body text (2)_"/>
    <w:basedOn w:val="DefaultParagraphFont"/>
    <w:link w:val="Bodytext20"/>
    <w:rPr>
      <w:rFonts w:ascii="Arial" w:eastAsia="Arial" w:hAnsi="Arial" w:cs="Arial"/>
      <w:b w:val="0"/>
      <w:bCs w:val="0"/>
      <w:i/>
      <w:iCs/>
      <w:smallCaps w:val="0"/>
      <w:strike w:val="0"/>
      <w:sz w:val="18"/>
      <w:szCs w:val="18"/>
      <w:u w:val="none"/>
      <w:shd w:val="clear" w:color="auto" w:fill="auto"/>
    </w:rPr>
  </w:style>
  <w:style w:type="paragraph" w:customStyle="1" w:styleId="Other0">
    <w:name w:val="Other"/>
    <w:basedOn w:val="Normal"/>
    <w:link w:val="Other"/>
    <w:pPr>
      <w:spacing w:line="317" w:lineRule="auto"/>
      <w:ind w:firstLine="20"/>
    </w:pPr>
    <w:rPr>
      <w:rFonts w:ascii="Arial" w:eastAsia="Arial" w:hAnsi="Arial" w:cs="Arial"/>
      <w:sz w:val="20"/>
      <w:szCs w:val="20"/>
    </w:rPr>
  </w:style>
  <w:style w:type="paragraph" w:customStyle="1" w:styleId="Heading21">
    <w:name w:val="Heading #2"/>
    <w:basedOn w:val="Normal"/>
    <w:link w:val="Heading20"/>
    <w:pPr>
      <w:jc w:val="center"/>
      <w:outlineLvl w:val="1"/>
    </w:pPr>
    <w:rPr>
      <w:rFonts w:ascii="Arial" w:eastAsia="Arial" w:hAnsi="Arial" w:cs="Arial"/>
    </w:rPr>
  </w:style>
  <w:style w:type="paragraph" w:styleId="BodyText">
    <w:name w:val="Body Text"/>
    <w:basedOn w:val="Normal"/>
    <w:link w:val="BodyTextChar"/>
    <w:qFormat/>
    <w:pPr>
      <w:spacing w:line="317" w:lineRule="auto"/>
      <w:ind w:firstLine="20"/>
    </w:pPr>
    <w:rPr>
      <w:rFonts w:ascii="Arial" w:eastAsia="Arial" w:hAnsi="Arial" w:cs="Arial"/>
      <w:sz w:val="20"/>
      <w:szCs w:val="20"/>
    </w:rPr>
  </w:style>
  <w:style w:type="paragraph" w:customStyle="1" w:styleId="Heading11">
    <w:name w:val="Heading #1"/>
    <w:basedOn w:val="Normal"/>
    <w:link w:val="Heading10"/>
    <w:pPr>
      <w:jc w:val="center"/>
      <w:outlineLvl w:val="0"/>
    </w:pPr>
    <w:rPr>
      <w:rFonts w:ascii="Arial" w:eastAsia="Arial" w:hAnsi="Arial" w:cs="Arial"/>
    </w:rPr>
  </w:style>
  <w:style w:type="paragraph" w:customStyle="1" w:styleId="Bodytext20">
    <w:name w:val="Body text (2)"/>
    <w:basedOn w:val="Normal"/>
    <w:link w:val="Bodytext2"/>
    <w:pPr>
      <w:spacing w:line="278" w:lineRule="auto"/>
      <w:ind w:left="1840"/>
    </w:pPr>
    <w:rPr>
      <w:rFonts w:ascii="Arial" w:eastAsia="Arial" w:hAnsi="Arial" w:cs="Arial"/>
      <w:i/>
      <w:iCs/>
      <w:sz w:val="18"/>
      <w:szCs w:val="18"/>
    </w:rPr>
  </w:style>
  <w:style w:type="paragraph" w:styleId="NormalWeb">
    <w:name w:val="Normal (Web)"/>
    <w:basedOn w:val="Normal"/>
    <w:uiPriority w:val="99"/>
    <w:unhideWhenUsed/>
    <w:rsid w:val="00975D72"/>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pm9eMEv5pnL4U3KE7n8WrjTnwg==">CgMxLjA4AHIhMWhnZ0NMSnhWVFZGYmJjWFoyOGtrcGlvdEVReUh2VkM2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8</cp:revision>
  <dcterms:created xsi:type="dcterms:W3CDTF">2024-08-28T03:23:00Z</dcterms:created>
  <dcterms:modified xsi:type="dcterms:W3CDTF">2024-08-29T03:06:00Z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307f67c74cc34ffa04636cef158a20f221f9d2958443d78760e6196ba684a710</vt:lpwstr>
  </property>
</Properties>
</file>