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F07997C" w:rsidR="007D1D26" w:rsidRPr="00650666" w:rsidRDefault="00650666" w:rsidP="0065066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650666">
        <w:rPr>
          <w:rFonts w:ascii="Arial" w:hAnsi="Arial" w:cs="Arial"/>
          <w:b/>
          <w:color w:val="010000"/>
          <w:sz w:val="20"/>
        </w:rPr>
        <w:t>VMK</w:t>
      </w:r>
      <w:r w:rsidRPr="00650666">
        <w:rPr>
          <w:rFonts w:ascii="Arial" w:hAnsi="Arial" w:cs="Arial"/>
          <w:b/>
          <w:color w:val="010000"/>
          <w:sz w:val="20"/>
        </w:rPr>
        <w:t xml:space="preserve">: </w:t>
      </w:r>
      <w:r w:rsidRPr="00650666">
        <w:rPr>
          <w:rFonts w:ascii="Arial" w:hAnsi="Arial" w:cs="Arial"/>
          <w:b/>
          <w:color w:val="010000"/>
          <w:sz w:val="20"/>
        </w:rPr>
        <w:t>Board Resolution</w:t>
      </w:r>
    </w:p>
    <w:p w14:paraId="00000002" w14:textId="0288EE3B" w:rsidR="007D1D26" w:rsidRPr="00650666" w:rsidRDefault="00650666" w:rsidP="0065066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 xml:space="preserve">On </w:t>
      </w:r>
      <w:r w:rsidRPr="00650666">
        <w:rPr>
          <w:rFonts w:ascii="Arial" w:hAnsi="Arial" w:cs="Arial"/>
          <w:color w:val="010000"/>
          <w:sz w:val="20"/>
        </w:rPr>
        <w:t>August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27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Vimarko Joint Stock Company</w:t>
      </w:r>
      <w:r w:rsidRPr="00650666">
        <w:rPr>
          <w:rFonts w:ascii="Arial" w:hAnsi="Arial" w:cs="Arial"/>
          <w:color w:val="010000"/>
          <w:sz w:val="20"/>
        </w:rPr>
        <w:t xml:space="preserve"> announced Resolution No. </w:t>
      </w:r>
      <w:r w:rsidRPr="00650666">
        <w:rPr>
          <w:rFonts w:ascii="Arial" w:hAnsi="Arial" w:cs="Arial"/>
          <w:color w:val="010000"/>
          <w:sz w:val="20"/>
        </w:rPr>
        <w:t>11</w:t>
      </w:r>
      <w:r w:rsidRPr="00650666">
        <w:rPr>
          <w:rFonts w:ascii="Arial" w:hAnsi="Arial" w:cs="Arial"/>
          <w:color w:val="010000"/>
          <w:sz w:val="20"/>
        </w:rPr>
        <w:t>/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/NQ-HDQT-VMK on approving the </w:t>
      </w:r>
      <w:r w:rsidRPr="00650666">
        <w:rPr>
          <w:rFonts w:ascii="Arial" w:hAnsi="Arial" w:cs="Arial"/>
          <w:color w:val="010000"/>
          <w:sz w:val="20"/>
        </w:rPr>
        <w:t>Registration Dossier for public offering of additional shares</w:t>
      </w:r>
      <w:r w:rsidRPr="00650666">
        <w:rPr>
          <w:rFonts w:ascii="Arial" w:hAnsi="Arial" w:cs="Arial"/>
          <w:color w:val="010000"/>
          <w:sz w:val="20"/>
        </w:rPr>
        <w:t xml:space="preserve"> as follows</w:t>
      </w:r>
      <w:r w:rsidRPr="00650666">
        <w:rPr>
          <w:rFonts w:ascii="Arial" w:hAnsi="Arial" w:cs="Arial"/>
          <w:color w:val="010000"/>
          <w:sz w:val="20"/>
        </w:rPr>
        <w:t>:</w:t>
      </w:r>
    </w:p>
    <w:p w14:paraId="00000003" w14:textId="77777777" w:rsidR="007D1D26" w:rsidRPr="00650666" w:rsidRDefault="00650666" w:rsidP="0065066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 xml:space="preserve">Article </w:t>
      </w:r>
      <w:r w:rsidRPr="00650666">
        <w:rPr>
          <w:rFonts w:ascii="Arial" w:hAnsi="Arial" w:cs="Arial"/>
          <w:color w:val="010000"/>
          <w:sz w:val="20"/>
        </w:rPr>
        <w:t>1: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 xml:space="preserve">Approve the </w:t>
      </w:r>
      <w:r w:rsidRPr="00650666">
        <w:rPr>
          <w:rFonts w:ascii="Arial" w:hAnsi="Arial" w:cs="Arial"/>
          <w:color w:val="010000"/>
          <w:sz w:val="20"/>
        </w:rPr>
        <w:t>Registration Dossier for public offering of additional shares</w:t>
      </w:r>
      <w:r w:rsidRPr="00650666">
        <w:rPr>
          <w:rFonts w:ascii="Arial" w:hAnsi="Arial" w:cs="Arial"/>
          <w:color w:val="010000"/>
          <w:sz w:val="20"/>
        </w:rPr>
        <w:t xml:space="preserve"> to existing shareholders of </w:t>
      </w:r>
      <w:r w:rsidRPr="00650666">
        <w:rPr>
          <w:rFonts w:ascii="Arial" w:hAnsi="Arial" w:cs="Arial"/>
          <w:color w:val="010000"/>
          <w:sz w:val="20"/>
        </w:rPr>
        <w:t>Vimarko Joint Stock Company</w:t>
      </w:r>
      <w:r w:rsidRPr="00650666">
        <w:rPr>
          <w:rFonts w:ascii="Arial" w:hAnsi="Arial" w:cs="Arial"/>
          <w:color w:val="010000"/>
          <w:sz w:val="20"/>
        </w:rPr>
        <w:t>, including</w:t>
      </w:r>
      <w:r w:rsidRPr="00650666">
        <w:rPr>
          <w:rFonts w:ascii="Arial" w:hAnsi="Arial" w:cs="Arial"/>
          <w:color w:val="010000"/>
          <w:sz w:val="20"/>
        </w:rPr>
        <w:t>:</w:t>
      </w:r>
    </w:p>
    <w:p w14:paraId="00000004" w14:textId="4D86877F" w:rsidR="007D1D26" w:rsidRPr="00650666" w:rsidRDefault="00650666" w:rsidP="00650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5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 xml:space="preserve">Registration Certificate for public offering of additional shares No. </w:t>
      </w:r>
      <w:r w:rsidRPr="00650666">
        <w:rPr>
          <w:rFonts w:ascii="Arial" w:hAnsi="Arial" w:cs="Arial"/>
          <w:color w:val="010000"/>
          <w:sz w:val="20"/>
        </w:rPr>
        <w:t>03</w:t>
      </w:r>
      <w:r w:rsidRPr="00650666">
        <w:rPr>
          <w:rFonts w:ascii="Arial" w:hAnsi="Arial" w:cs="Arial"/>
          <w:color w:val="010000"/>
          <w:sz w:val="20"/>
        </w:rPr>
        <w:t>/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/DKCB-VMK dated </w:t>
      </w:r>
      <w:r w:rsidRPr="00650666">
        <w:rPr>
          <w:rFonts w:ascii="Arial" w:hAnsi="Arial" w:cs="Arial"/>
          <w:color w:val="010000"/>
          <w:sz w:val="20"/>
        </w:rPr>
        <w:t>August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26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>;</w:t>
      </w:r>
    </w:p>
    <w:p w14:paraId="00000005" w14:textId="1C273119" w:rsidR="007D1D26" w:rsidRPr="00650666" w:rsidRDefault="00650666" w:rsidP="00650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>Busi</w:t>
      </w:r>
      <w:r w:rsidRPr="00650666">
        <w:rPr>
          <w:rFonts w:ascii="Arial" w:hAnsi="Arial" w:cs="Arial"/>
          <w:color w:val="010000"/>
          <w:sz w:val="20"/>
        </w:rPr>
        <w:t xml:space="preserve">ness Registration Certificate No. </w:t>
      </w:r>
      <w:r w:rsidRPr="00650666">
        <w:rPr>
          <w:rFonts w:ascii="Arial" w:hAnsi="Arial" w:cs="Arial"/>
          <w:color w:val="010000"/>
          <w:sz w:val="20"/>
        </w:rPr>
        <w:t>0108720772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1</w:t>
      </w:r>
      <w:r w:rsidRPr="00650666">
        <w:rPr>
          <w:rFonts w:ascii="Arial" w:hAnsi="Arial" w:cs="Arial"/>
          <w:color w:val="010000"/>
          <w:sz w:val="20"/>
        </w:rPr>
        <w:t xml:space="preserve">st issued by Hanoi Authority for Planning and Investment on </w:t>
      </w:r>
      <w:r w:rsidRPr="00650666">
        <w:rPr>
          <w:rFonts w:ascii="Arial" w:hAnsi="Arial" w:cs="Arial"/>
          <w:color w:val="010000"/>
          <w:sz w:val="20"/>
        </w:rPr>
        <w:t>May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02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2019</w:t>
      </w:r>
      <w:r w:rsidRPr="00650666">
        <w:rPr>
          <w:rFonts w:ascii="Arial" w:hAnsi="Arial" w:cs="Arial"/>
          <w:color w:val="010000"/>
          <w:sz w:val="20"/>
        </w:rPr>
        <w:t xml:space="preserve"> and </w:t>
      </w:r>
      <w:r w:rsidRPr="00650666">
        <w:rPr>
          <w:rFonts w:ascii="Arial" w:hAnsi="Arial" w:cs="Arial"/>
          <w:color w:val="010000"/>
          <w:sz w:val="20"/>
        </w:rPr>
        <w:t>5</w:t>
      </w:r>
      <w:r w:rsidRPr="00650666">
        <w:rPr>
          <w:rFonts w:ascii="Arial" w:hAnsi="Arial" w:cs="Arial"/>
          <w:color w:val="010000"/>
          <w:sz w:val="20"/>
        </w:rPr>
        <w:t xml:space="preserve">th changed on </w:t>
      </w:r>
      <w:r w:rsidRPr="00650666">
        <w:rPr>
          <w:rFonts w:ascii="Arial" w:hAnsi="Arial" w:cs="Arial"/>
          <w:color w:val="010000"/>
          <w:sz w:val="20"/>
        </w:rPr>
        <w:t>November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24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2023</w:t>
      </w:r>
      <w:r w:rsidRPr="00650666">
        <w:rPr>
          <w:rFonts w:ascii="Arial" w:hAnsi="Arial" w:cs="Arial"/>
          <w:color w:val="010000"/>
          <w:sz w:val="20"/>
        </w:rPr>
        <w:t>;</w:t>
      </w:r>
    </w:p>
    <w:p w14:paraId="00000006" w14:textId="647E247D" w:rsidR="007D1D26" w:rsidRPr="00650666" w:rsidRDefault="00650666" w:rsidP="00650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 xml:space="preserve">General Mandate No. </w:t>
      </w:r>
      <w:r w:rsidRPr="00650666">
        <w:rPr>
          <w:rFonts w:ascii="Arial" w:hAnsi="Arial" w:cs="Arial"/>
          <w:color w:val="010000"/>
          <w:sz w:val="20"/>
        </w:rPr>
        <w:t>02</w:t>
      </w:r>
      <w:r w:rsidRPr="00650666">
        <w:rPr>
          <w:rFonts w:ascii="Arial" w:hAnsi="Arial" w:cs="Arial"/>
          <w:color w:val="010000"/>
          <w:sz w:val="20"/>
        </w:rPr>
        <w:t>/</w:t>
      </w:r>
      <w:r w:rsidRPr="00650666">
        <w:rPr>
          <w:rFonts w:ascii="Arial" w:hAnsi="Arial" w:cs="Arial"/>
          <w:color w:val="010000"/>
          <w:sz w:val="20"/>
        </w:rPr>
        <w:t>2023</w:t>
      </w:r>
      <w:r w:rsidRPr="00650666">
        <w:rPr>
          <w:rFonts w:ascii="Arial" w:hAnsi="Arial" w:cs="Arial"/>
          <w:color w:val="010000"/>
          <w:sz w:val="20"/>
        </w:rPr>
        <w:t xml:space="preserve">/NQ-DHDCD-VMK dated </w:t>
      </w:r>
      <w:r w:rsidRPr="00650666">
        <w:rPr>
          <w:rFonts w:ascii="Arial" w:hAnsi="Arial" w:cs="Arial"/>
          <w:color w:val="010000"/>
          <w:sz w:val="20"/>
        </w:rPr>
        <w:t>August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22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 and Minutes No. </w:t>
      </w:r>
      <w:r w:rsidRPr="00650666">
        <w:rPr>
          <w:rFonts w:ascii="Arial" w:hAnsi="Arial" w:cs="Arial"/>
          <w:color w:val="010000"/>
          <w:sz w:val="20"/>
        </w:rPr>
        <w:t>02</w:t>
      </w:r>
      <w:r w:rsidRPr="00650666">
        <w:rPr>
          <w:rFonts w:ascii="Arial" w:hAnsi="Arial" w:cs="Arial"/>
          <w:color w:val="010000"/>
          <w:sz w:val="20"/>
        </w:rPr>
        <w:t>/</w:t>
      </w:r>
      <w:r w:rsidRPr="00650666">
        <w:rPr>
          <w:rFonts w:ascii="Arial" w:hAnsi="Arial" w:cs="Arial"/>
          <w:color w:val="010000"/>
          <w:sz w:val="20"/>
        </w:rPr>
        <w:t>2023</w:t>
      </w:r>
      <w:r w:rsidRPr="00650666">
        <w:rPr>
          <w:rFonts w:ascii="Arial" w:hAnsi="Arial" w:cs="Arial"/>
          <w:color w:val="010000"/>
          <w:sz w:val="20"/>
        </w:rPr>
        <w:t xml:space="preserve">/BB-DHDCD-VMK dated </w:t>
      </w:r>
      <w:r w:rsidRPr="00650666">
        <w:rPr>
          <w:rFonts w:ascii="Arial" w:hAnsi="Arial" w:cs="Arial"/>
          <w:color w:val="010000"/>
          <w:sz w:val="20"/>
        </w:rPr>
        <w:t>August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22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2023</w:t>
      </w:r>
      <w:r w:rsidRPr="00650666">
        <w:rPr>
          <w:rFonts w:ascii="Arial" w:hAnsi="Arial" w:cs="Arial"/>
          <w:color w:val="010000"/>
          <w:sz w:val="20"/>
        </w:rPr>
        <w:t xml:space="preserve"> of the Annual General Meeting of Shareholders </w:t>
      </w:r>
      <w:r w:rsidRPr="00650666">
        <w:rPr>
          <w:rFonts w:ascii="Arial" w:hAnsi="Arial" w:cs="Arial"/>
          <w:color w:val="010000"/>
          <w:sz w:val="20"/>
        </w:rPr>
        <w:t>2023</w:t>
      </w:r>
      <w:r w:rsidRPr="00650666">
        <w:rPr>
          <w:rFonts w:ascii="Arial" w:hAnsi="Arial" w:cs="Arial"/>
          <w:color w:val="010000"/>
          <w:sz w:val="20"/>
        </w:rPr>
        <w:t xml:space="preserve"> on approving the issuance plan of additional shares to existing shareholders.</w:t>
      </w:r>
    </w:p>
    <w:p w14:paraId="00000007" w14:textId="77777777" w:rsidR="007D1D26" w:rsidRPr="00650666" w:rsidRDefault="00650666" w:rsidP="00650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>The P</w:t>
      </w:r>
      <w:r w:rsidRPr="00650666">
        <w:rPr>
          <w:rFonts w:ascii="Arial" w:hAnsi="Arial" w:cs="Arial"/>
          <w:color w:val="010000"/>
          <w:sz w:val="20"/>
        </w:rPr>
        <w:t>rospectus;</w:t>
      </w:r>
    </w:p>
    <w:p w14:paraId="00000008" w14:textId="3670AD94" w:rsidR="007D1D26" w:rsidRPr="00650666" w:rsidRDefault="00650666" w:rsidP="00650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>The Charter on Organization and O</w:t>
      </w:r>
      <w:r w:rsidRPr="00650666">
        <w:rPr>
          <w:rFonts w:ascii="Arial" w:hAnsi="Arial" w:cs="Arial"/>
          <w:color w:val="010000"/>
          <w:sz w:val="20"/>
        </w:rPr>
        <w:t xml:space="preserve">peration of </w:t>
      </w:r>
      <w:r w:rsidRPr="00650666">
        <w:rPr>
          <w:rFonts w:ascii="Arial" w:hAnsi="Arial" w:cs="Arial"/>
          <w:color w:val="010000"/>
          <w:sz w:val="20"/>
        </w:rPr>
        <w:t>Vimarko Joint Stock Company</w:t>
      </w:r>
      <w:r w:rsidRPr="00650666">
        <w:rPr>
          <w:rFonts w:ascii="Arial" w:hAnsi="Arial" w:cs="Arial"/>
          <w:color w:val="010000"/>
          <w:sz w:val="20"/>
        </w:rPr>
        <w:t>;</w:t>
      </w:r>
    </w:p>
    <w:p w14:paraId="00000009" w14:textId="77777777" w:rsidR="007D1D26" w:rsidRPr="00650666" w:rsidRDefault="00650666" w:rsidP="00650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 xml:space="preserve">The Audited Financial Statements </w:t>
      </w:r>
      <w:r w:rsidRPr="00650666">
        <w:rPr>
          <w:rFonts w:ascii="Arial" w:hAnsi="Arial" w:cs="Arial"/>
          <w:color w:val="010000"/>
          <w:sz w:val="20"/>
        </w:rPr>
        <w:t>2022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2023</w:t>
      </w:r>
      <w:r w:rsidRPr="00650666">
        <w:rPr>
          <w:rFonts w:ascii="Arial" w:hAnsi="Arial" w:cs="Arial"/>
          <w:color w:val="010000"/>
          <w:sz w:val="20"/>
        </w:rPr>
        <w:t xml:space="preserve">; the Reviewed Semi-annual Financial Statements 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>, and the authorization dossier of the audit company;</w:t>
      </w:r>
    </w:p>
    <w:p w14:paraId="0000000A" w14:textId="0D456025" w:rsidR="007D1D26" w:rsidRPr="00650666" w:rsidRDefault="00650666" w:rsidP="00650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 xml:space="preserve">Consulting contract No. </w:t>
      </w:r>
      <w:r w:rsidRPr="00650666">
        <w:rPr>
          <w:rFonts w:ascii="Arial" w:hAnsi="Arial" w:cs="Arial"/>
          <w:color w:val="010000"/>
          <w:sz w:val="20"/>
        </w:rPr>
        <w:t>9</w:t>
      </w:r>
      <w:r w:rsidRPr="00650666">
        <w:rPr>
          <w:rFonts w:ascii="Arial" w:hAnsi="Arial" w:cs="Arial"/>
          <w:color w:val="010000"/>
          <w:sz w:val="20"/>
        </w:rPr>
        <w:t>A/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/HDTV/APSC-VMK signed on </w:t>
      </w:r>
      <w:r w:rsidRPr="00650666">
        <w:rPr>
          <w:rFonts w:ascii="Arial" w:hAnsi="Arial" w:cs="Arial"/>
          <w:color w:val="010000"/>
          <w:sz w:val="20"/>
        </w:rPr>
        <w:t>July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9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 between </w:t>
      </w:r>
      <w:r w:rsidRPr="00650666">
        <w:rPr>
          <w:rFonts w:ascii="Arial" w:hAnsi="Arial" w:cs="Arial"/>
          <w:color w:val="010000"/>
          <w:sz w:val="20"/>
        </w:rPr>
        <w:t>Vimarko Joint Stock Company</w:t>
      </w:r>
      <w:r w:rsidRPr="00650666">
        <w:rPr>
          <w:rFonts w:ascii="Arial" w:hAnsi="Arial" w:cs="Arial"/>
          <w:color w:val="010000"/>
          <w:sz w:val="20"/>
        </w:rPr>
        <w:t xml:space="preserve"> and </w:t>
      </w:r>
      <w:r w:rsidRPr="00650666">
        <w:rPr>
          <w:rFonts w:ascii="Arial" w:hAnsi="Arial" w:cs="Arial"/>
          <w:color w:val="010000"/>
          <w:sz w:val="20"/>
        </w:rPr>
        <w:t>Alpha Securities Joint Stock Company</w:t>
      </w:r>
      <w:r w:rsidRPr="00650666">
        <w:rPr>
          <w:rFonts w:ascii="Arial" w:hAnsi="Arial" w:cs="Arial"/>
          <w:color w:val="010000"/>
          <w:sz w:val="20"/>
        </w:rPr>
        <w:t>;</w:t>
      </w:r>
    </w:p>
    <w:p w14:paraId="0000000B" w14:textId="43055600" w:rsidR="007D1D26" w:rsidRPr="00650666" w:rsidRDefault="00650666" w:rsidP="00650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 xml:space="preserve">Board </w:t>
      </w:r>
      <w:r w:rsidRPr="00650666">
        <w:rPr>
          <w:rFonts w:ascii="Arial" w:hAnsi="Arial" w:cs="Arial"/>
          <w:color w:val="010000"/>
          <w:sz w:val="20"/>
        </w:rPr>
        <w:t xml:space="preserve">Resolution No. </w:t>
      </w:r>
      <w:r w:rsidRPr="00650666">
        <w:rPr>
          <w:rFonts w:ascii="Arial" w:hAnsi="Arial" w:cs="Arial"/>
          <w:color w:val="010000"/>
          <w:sz w:val="20"/>
        </w:rPr>
        <w:t>04</w:t>
      </w:r>
      <w:r w:rsidRPr="00650666">
        <w:rPr>
          <w:rFonts w:ascii="Arial" w:hAnsi="Arial" w:cs="Arial"/>
          <w:color w:val="010000"/>
          <w:sz w:val="20"/>
        </w:rPr>
        <w:t>/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/NQ-HDQT-VMK dated </w:t>
      </w:r>
      <w:r w:rsidRPr="00650666">
        <w:rPr>
          <w:rFonts w:ascii="Arial" w:hAnsi="Arial" w:cs="Arial"/>
          <w:color w:val="010000"/>
          <w:sz w:val="20"/>
        </w:rPr>
        <w:t>February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20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of the Company on approv</w:t>
      </w:r>
      <w:r w:rsidRPr="00650666">
        <w:rPr>
          <w:rFonts w:ascii="Arial" w:hAnsi="Arial" w:cs="Arial"/>
          <w:color w:val="010000"/>
          <w:sz w:val="20"/>
        </w:rPr>
        <w:t>ing the implementation of the public offering of additional shares to existing shareholders;</w:t>
      </w:r>
    </w:p>
    <w:p w14:paraId="0000000C" w14:textId="359AE896" w:rsidR="007D1D26" w:rsidRPr="00650666" w:rsidRDefault="00650666" w:rsidP="00650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2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 xml:space="preserve">Board </w:t>
      </w:r>
      <w:r w:rsidRPr="00650666">
        <w:rPr>
          <w:rFonts w:ascii="Arial" w:hAnsi="Arial" w:cs="Arial"/>
          <w:color w:val="010000"/>
          <w:sz w:val="20"/>
        </w:rPr>
        <w:t xml:space="preserve">Resolution No. </w:t>
      </w:r>
      <w:r w:rsidRPr="00650666">
        <w:rPr>
          <w:rFonts w:ascii="Arial" w:hAnsi="Arial" w:cs="Arial"/>
          <w:color w:val="010000"/>
          <w:sz w:val="20"/>
        </w:rPr>
        <w:t>10</w:t>
      </w:r>
      <w:r w:rsidRPr="00650666">
        <w:rPr>
          <w:rFonts w:ascii="Arial" w:hAnsi="Arial" w:cs="Arial"/>
          <w:color w:val="010000"/>
          <w:sz w:val="20"/>
        </w:rPr>
        <w:t>/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/NQ-HDQT-VMK dated </w:t>
      </w:r>
      <w:r w:rsidRPr="00650666">
        <w:rPr>
          <w:rFonts w:ascii="Arial" w:hAnsi="Arial" w:cs="Arial"/>
          <w:color w:val="010000"/>
          <w:sz w:val="20"/>
        </w:rPr>
        <w:t>August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26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 xml:space="preserve">of the Company on adjusting and supplementing some contents of Resolution No. </w:t>
      </w:r>
      <w:r w:rsidRPr="00650666">
        <w:rPr>
          <w:rFonts w:ascii="Arial" w:hAnsi="Arial" w:cs="Arial"/>
          <w:color w:val="010000"/>
          <w:sz w:val="20"/>
        </w:rPr>
        <w:t>04</w:t>
      </w:r>
      <w:r w:rsidRPr="00650666">
        <w:rPr>
          <w:rFonts w:ascii="Arial" w:hAnsi="Arial" w:cs="Arial"/>
          <w:color w:val="010000"/>
          <w:sz w:val="20"/>
        </w:rPr>
        <w:t>/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/NQ- HDQT-VMK dated </w:t>
      </w:r>
      <w:r w:rsidRPr="00650666">
        <w:rPr>
          <w:rFonts w:ascii="Arial" w:hAnsi="Arial" w:cs="Arial"/>
          <w:color w:val="010000"/>
          <w:sz w:val="20"/>
        </w:rPr>
        <w:t>February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20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>;</w:t>
      </w:r>
    </w:p>
    <w:p w14:paraId="0000000D" w14:textId="07D9D78B" w:rsidR="007D1D26" w:rsidRPr="00650666" w:rsidRDefault="00650666" w:rsidP="00650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 xml:space="preserve">Board </w:t>
      </w:r>
      <w:r w:rsidRPr="00650666">
        <w:rPr>
          <w:rFonts w:ascii="Arial" w:hAnsi="Arial" w:cs="Arial"/>
          <w:color w:val="010000"/>
          <w:sz w:val="20"/>
        </w:rPr>
        <w:t xml:space="preserve">Resolution No. </w:t>
      </w:r>
      <w:r w:rsidRPr="00650666">
        <w:rPr>
          <w:rFonts w:ascii="Arial" w:hAnsi="Arial" w:cs="Arial"/>
          <w:color w:val="010000"/>
          <w:sz w:val="20"/>
        </w:rPr>
        <w:t>11</w:t>
      </w:r>
      <w:r w:rsidRPr="00650666">
        <w:rPr>
          <w:rFonts w:ascii="Arial" w:hAnsi="Arial" w:cs="Arial"/>
          <w:color w:val="010000"/>
          <w:sz w:val="20"/>
        </w:rPr>
        <w:t>/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/NQ-HDQT-VMK dated </w:t>
      </w:r>
      <w:r w:rsidRPr="00650666">
        <w:rPr>
          <w:rFonts w:ascii="Arial" w:hAnsi="Arial" w:cs="Arial"/>
          <w:color w:val="010000"/>
          <w:sz w:val="20"/>
        </w:rPr>
        <w:t>August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2</w:t>
      </w:r>
      <w:r w:rsidRPr="00650666">
        <w:rPr>
          <w:rFonts w:ascii="Arial" w:hAnsi="Arial" w:cs="Arial"/>
          <w:color w:val="010000"/>
          <w:sz w:val="20"/>
        </w:rPr>
        <w:t>7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 xml:space="preserve">of the Company on approving the </w:t>
      </w:r>
      <w:r w:rsidRPr="00650666">
        <w:rPr>
          <w:rFonts w:ascii="Arial" w:hAnsi="Arial" w:cs="Arial"/>
          <w:color w:val="010000"/>
          <w:sz w:val="20"/>
        </w:rPr>
        <w:t>Registration Dossier for public offering of additional shares</w:t>
      </w:r>
      <w:r w:rsidRPr="00650666">
        <w:rPr>
          <w:rFonts w:ascii="Arial" w:hAnsi="Arial" w:cs="Arial"/>
          <w:color w:val="010000"/>
          <w:sz w:val="20"/>
        </w:rPr>
        <w:t>;</w:t>
      </w:r>
    </w:p>
    <w:p w14:paraId="0000000F" w14:textId="77C7B326" w:rsidR="007D1D26" w:rsidRPr="00650666" w:rsidRDefault="00650666" w:rsidP="00650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3"/>
          <w:tab w:val="left" w:pos="934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 xml:space="preserve">Document No. </w:t>
      </w:r>
      <w:r w:rsidRPr="00650666">
        <w:rPr>
          <w:rFonts w:ascii="Arial" w:hAnsi="Arial" w:cs="Arial"/>
          <w:color w:val="010000"/>
          <w:sz w:val="20"/>
        </w:rPr>
        <w:t>06</w:t>
      </w:r>
      <w:r w:rsidRPr="00650666">
        <w:rPr>
          <w:rFonts w:ascii="Arial" w:hAnsi="Arial" w:cs="Arial"/>
          <w:color w:val="010000"/>
          <w:sz w:val="20"/>
        </w:rPr>
        <w:t>/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/CV-VMK dated </w:t>
      </w:r>
      <w:r w:rsidRPr="00650666">
        <w:rPr>
          <w:rFonts w:ascii="Arial" w:hAnsi="Arial" w:cs="Arial"/>
          <w:color w:val="010000"/>
          <w:sz w:val="20"/>
        </w:rPr>
        <w:t>August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26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 of the Board of Directors of the Company on committing the trading registration for additional shares after completing the public offering to existing shareholders;</w:t>
      </w:r>
    </w:p>
    <w:p w14:paraId="00000011" w14:textId="4B2E9662" w:rsidR="007D1D26" w:rsidRPr="00650666" w:rsidRDefault="00650666" w:rsidP="00650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3"/>
          <w:tab w:val="left" w:pos="955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 xml:space="preserve">Document No. </w:t>
      </w:r>
      <w:r w:rsidRPr="00650666">
        <w:rPr>
          <w:rFonts w:ascii="Arial" w:hAnsi="Arial" w:cs="Arial"/>
          <w:color w:val="010000"/>
          <w:sz w:val="20"/>
        </w:rPr>
        <w:t>359</w:t>
      </w:r>
      <w:r w:rsidRPr="00650666">
        <w:rPr>
          <w:rFonts w:ascii="Arial" w:hAnsi="Arial" w:cs="Arial"/>
          <w:color w:val="010000"/>
          <w:sz w:val="20"/>
        </w:rPr>
        <w:t>/BIDV.HN-KHDN</w:t>
      </w:r>
      <w:r w:rsidRPr="00650666">
        <w:rPr>
          <w:rFonts w:ascii="Arial" w:hAnsi="Arial" w:cs="Arial"/>
          <w:color w:val="010000"/>
          <w:sz w:val="20"/>
        </w:rPr>
        <w:t>2</w:t>
      </w:r>
      <w:r w:rsidRPr="00650666">
        <w:rPr>
          <w:rFonts w:ascii="Arial" w:hAnsi="Arial" w:cs="Arial"/>
          <w:color w:val="010000"/>
          <w:sz w:val="20"/>
        </w:rPr>
        <w:t xml:space="preserve"> dated </w:t>
      </w:r>
      <w:r w:rsidRPr="00650666">
        <w:rPr>
          <w:rFonts w:ascii="Arial" w:hAnsi="Arial" w:cs="Arial"/>
          <w:color w:val="010000"/>
          <w:sz w:val="20"/>
        </w:rPr>
        <w:t>Feb</w:t>
      </w:r>
      <w:r w:rsidRPr="00650666">
        <w:rPr>
          <w:rFonts w:ascii="Arial" w:hAnsi="Arial" w:cs="Arial"/>
          <w:color w:val="010000"/>
          <w:sz w:val="20"/>
        </w:rPr>
        <w:t>ruary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20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 of </w:t>
      </w:r>
      <w:r w:rsidRPr="00650666">
        <w:rPr>
          <w:rFonts w:ascii="Arial" w:hAnsi="Arial" w:cs="Arial"/>
          <w:color w:val="010000"/>
          <w:sz w:val="20"/>
        </w:rPr>
        <w:t>Joint Stock Commercial Bank for Investment and Development of Vietnam</w:t>
      </w:r>
      <w:r w:rsidRPr="00650666">
        <w:rPr>
          <w:rFonts w:ascii="Arial" w:hAnsi="Arial" w:cs="Arial"/>
          <w:color w:val="010000"/>
          <w:sz w:val="20"/>
        </w:rPr>
        <w:t xml:space="preserve"> on opening a </w:t>
      </w:r>
      <w:r w:rsidRPr="00650666">
        <w:rPr>
          <w:rFonts w:ascii="Arial" w:hAnsi="Arial" w:cs="Arial"/>
          <w:color w:val="010000"/>
          <w:sz w:val="20"/>
        </w:rPr>
        <w:t>blocked account for receiving payment of share purchase in the share offering and the authorization dossier;</w:t>
      </w:r>
    </w:p>
    <w:p w14:paraId="00000012" w14:textId="128F5067" w:rsidR="007D1D26" w:rsidRPr="00650666" w:rsidRDefault="00650666" w:rsidP="00650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 xml:space="preserve">Document No. </w:t>
      </w:r>
      <w:r w:rsidRPr="00650666">
        <w:rPr>
          <w:rFonts w:ascii="Arial" w:hAnsi="Arial" w:cs="Arial"/>
          <w:color w:val="010000"/>
          <w:sz w:val="20"/>
        </w:rPr>
        <w:t>07</w:t>
      </w:r>
      <w:r w:rsidRPr="00650666">
        <w:rPr>
          <w:rFonts w:ascii="Arial" w:hAnsi="Arial" w:cs="Arial"/>
          <w:color w:val="010000"/>
          <w:sz w:val="20"/>
        </w:rPr>
        <w:t>/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/CV-VMK dated </w:t>
      </w:r>
      <w:r w:rsidRPr="00650666">
        <w:rPr>
          <w:rFonts w:ascii="Arial" w:hAnsi="Arial" w:cs="Arial"/>
          <w:color w:val="010000"/>
          <w:sz w:val="20"/>
        </w:rPr>
        <w:t>August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26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 of the Board of Directors of the Company on the </w:t>
      </w:r>
      <w:r w:rsidRPr="00650666">
        <w:rPr>
          <w:rFonts w:ascii="Arial" w:hAnsi="Arial" w:cs="Arial"/>
          <w:color w:val="010000"/>
          <w:sz w:val="20"/>
        </w:rPr>
        <w:t>commitment to comply with the regulations at P</w:t>
      </w:r>
      <w:r w:rsidRPr="00650666">
        <w:rPr>
          <w:rFonts w:ascii="Arial" w:hAnsi="Arial" w:cs="Arial"/>
          <w:color w:val="010000"/>
          <w:sz w:val="20"/>
        </w:rPr>
        <w:t xml:space="preserve">oint e, Clause </w:t>
      </w:r>
      <w:r w:rsidRPr="00650666">
        <w:rPr>
          <w:rFonts w:ascii="Arial" w:hAnsi="Arial" w:cs="Arial"/>
          <w:color w:val="010000"/>
          <w:sz w:val="20"/>
        </w:rPr>
        <w:t>1</w:t>
      </w:r>
      <w:r w:rsidRPr="00650666">
        <w:rPr>
          <w:rFonts w:ascii="Arial" w:hAnsi="Arial" w:cs="Arial"/>
          <w:color w:val="010000"/>
          <w:sz w:val="20"/>
        </w:rPr>
        <w:t xml:space="preserve">, Article </w:t>
      </w:r>
      <w:r w:rsidRPr="00650666">
        <w:rPr>
          <w:rFonts w:ascii="Arial" w:hAnsi="Arial" w:cs="Arial"/>
          <w:color w:val="010000"/>
          <w:sz w:val="20"/>
        </w:rPr>
        <w:t>15</w:t>
      </w:r>
      <w:r w:rsidRPr="00650666">
        <w:rPr>
          <w:rFonts w:ascii="Arial" w:hAnsi="Arial" w:cs="Arial"/>
          <w:color w:val="010000"/>
          <w:sz w:val="20"/>
        </w:rPr>
        <w:t xml:space="preserve"> of the Law on Securities;</w:t>
      </w:r>
    </w:p>
    <w:p w14:paraId="00000013" w14:textId="77777777" w:rsidR="007D1D26" w:rsidRPr="00650666" w:rsidRDefault="00650666" w:rsidP="00650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>Documents related to the plan on using capital.</w:t>
      </w:r>
    </w:p>
    <w:p w14:paraId="00000014" w14:textId="77777777" w:rsidR="007D1D26" w:rsidRPr="00650666" w:rsidRDefault="00650666" w:rsidP="0065066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lastRenderedPageBreak/>
        <w:t xml:space="preserve">Article </w:t>
      </w:r>
      <w:r w:rsidRPr="00650666">
        <w:rPr>
          <w:rFonts w:ascii="Arial" w:hAnsi="Arial" w:cs="Arial"/>
          <w:color w:val="010000"/>
          <w:sz w:val="20"/>
        </w:rPr>
        <w:t>2:</w:t>
      </w:r>
      <w:r w:rsidRPr="00650666">
        <w:rPr>
          <w:rFonts w:ascii="Arial" w:hAnsi="Arial" w:cs="Arial"/>
          <w:color w:val="010000"/>
          <w:sz w:val="20"/>
        </w:rPr>
        <w:t xml:space="preserve"> Te</w:t>
      </w:r>
      <w:r w:rsidRPr="00650666">
        <w:rPr>
          <w:rFonts w:ascii="Arial" w:hAnsi="Arial" w:cs="Arial"/>
          <w:color w:val="010000"/>
          <w:sz w:val="20"/>
        </w:rPr>
        <w:t>rms of authorization</w:t>
      </w:r>
    </w:p>
    <w:p w14:paraId="00000015" w14:textId="77777777" w:rsidR="007D1D26" w:rsidRPr="00650666" w:rsidRDefault="00650666" w:rsidP="0065066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>The Board of Directors approved on authorizing the Chair of the Board of Directors and/or the General Manager of the Company to implement necessary tasks according to the provisions of law to complete the documents to complete the shar</w:t>
      </w:r>
      <w:r w:rsidRPr="00650666">
        <w:rPr>
          <w:rFonts w:ascii="Arial" w:hAnsi="Arial" w:cs="Arial"/>
          <w:color w:val="010000"/>
          <w:sz w:val="20"/>
        </w:rPr>
        <w:t>e issuance dossier set and other relevant tasks as requested by the State Securities Commission (if any) during the process of appraisal and approval of the issuance dossier.</w:t>
      </w:r>
    </w:p>
    <w:p w14:paraId="00000016" w14:textId="77777777" w:rsidR="007D1D26" w:rsidRPr="00650666" w:rsidRDefault="00650666" w:rsidP="0065066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 xml:space="preserve">Article </w:t>
      </w:r>
      <w:r w:rsidRPr="00650666">
        <w:rPr>
          <w:rFonts w:ascii="Arial" w:hAnsi="Arial" w:cs="Arial"/>
          <w:color w:val="010000"/>
          <w:sz w:val="20"/>
        </w:rPr>
        <w:t>3:</w:t>
      </w:r>
      <w:r w:rsidRPr="00650666">
        <w:rPr>
          <w:rFonts w:ascii="Arial" w:hAnsi="Arial" w:cs="Arial"/>
          <w:color w:val="010000"/>
          <w:sz w:val="20"/>
        </w:rPr>
        <w:t xml:space="preserve"> Terms of enforcement</w:t>
      </w:r>
    </w:p>
    <w:p w14:paraId="00000017" w14:textId="760EEAD1" w:rsidR="007D1D26" w:rsidRPr="00650666" w:rsidRDefault="00650666" w:rsidP="0065066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>This Resolution takes effect from the date of its</w:t>
      </w:r>
      <w:r w:rsidRPr="00650666">
        <w:rPr>
          <w:rFonts w:ascii="Arial" w:hAnsi="Arial" w:cs="Arial"/>
          <w:color w:val="010000"/>
          <w:sz w:val="20"/>
        </w:rPr>
        <w:t xml:space="preserve"> signing and replaces Resolution No. </w:t>
      </w:r>
      <w:r w:rsidRPr="00650666">
        <w:rPr>
          <w:rFonts w:ascii="Arial" w:hAnsi="Arial" w:cs="Arial"/>
          <w:color w:val="010000"/>
          <w:sz w:val="20"/>
        </w:rPr>
        <w:t>05</w:t>
      </w:r>
      <w:r w:rsidRPr="00650666">
        <w:rPr>
          <w:rFonts w:ascii="Arial" w:hAnsi="Arial" w:cs="Arial"/>
          <w:color w:val="010000"/>
          <w:sz w:val="20"/>
        </w:rPr>
        <w:t>/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 xml:space="preserve">/NQ-HDQT-VMK dated </w:t>
      </w:r>
      <w:r w:rsidRPr="00650666">
        <w:rPr>
          <w:rFonts w:ascii="Arial" w:hAnsi="Arial" w:cs="Arial"/>
          <w:color w:val="010000"/>
          <w:sz w:val="20"/>
        </w:rPr>
        <w:t>February</w:t>
      </w:r>
      <w:r w:rsidRPr="00650666">
        <w:rPr>
          <w:rFonts w:ascii="Arial" w:hAnsi="Arial" w:cs="Arial"/>
          <w:color w:val="010000"/>
          <w:sz w:val="20"/>
        </w:rPr>
        <w:t xml:space="preserve"> </w:t>
      </w:r>
      <w:r w:rsidRPr="00650666">
        <w:rPr>
          <w:rFonts w:ascii="Arial" w:hAnsi="Arial" w:cs="Arial"/>
          <w:color w:val="010000"/>
          <w:sz w:val="20"/>
        </w:rPr>
        <w:t>20</w:t>
      </w:r>
      <w:r w:rsidRPr="00650666">
        <w:rPr>
          <w:rFonts w:ascii="Arial" w:hAnsi="Arial" w:cs="Arial"/>
          <w:color w:val="010000"/>
          <w:sz w:val="20"/>
        </w:rPr>
        <w:t xml:space="preserve">, </w:t>
      </w:r>
      <w:r w:rsidRPr="00650666">
        <w:rPr>
          <w:rFonts w:ascii="Arial" w:hAnsi="Arial" w:cs="Arial"/>
          <w:color w:val="010000"/>
          <w:sz w:val="20"/>
        </w:rPr>
        <w:t>2024</w:t>
      </w:r>
      <w:r w:rsidRPr="00650666">
        <w:rPr>
          <w:rFonts w:ascii="Arial" w:hAnsi="Arial" w:cs="Arial"/>
          <w:color w:val="010000"/>
          <w:sz w:val="20"/>
        </w:rPr>
        <w:t>.</w:t>
      </w:r>
    </w:p>
    <w:p w14:paraId="00000018" w14:textId="77777777" w:rsidR="007D1D26" w:rsidRPr="00650666" w:rsidRDefault="00650666" w:rsidP="0065066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0666">
        <w:rPr>
          <w:rFonts w:ascii="Arial" w:hAnsi="Arial" w:cs="Arial"/>
          <w:color w:val="010000"/>
          <w:sz w:val="20"/>
        </w:rPr>
        <w:t xml:space="preserve">Members of the Board of Directors, the Board of Management, and relevant units/departments are responsible for implementing this Resolution in accordance with the provisions </w:t>
      </w:r>
      <w:r w:rsidRPr="00650666">
        <w:rPr>
          <w:rFonts w:ascii="Arial" w:hAnsi="Arial" w:cs="Arial"/>
          <w:color w:val="010000"/>
          <w:sz w:val="20"/>
        </w:rPr>
        <w:t>of law and the Company’s Charter.</w:t>
      </w:r>
      <w:bookmarkEnd w:id="0"/>
    </w:p>
    <w:sectPr w:rsidR="007D1D26" w:rsidRPr="00650666" w:rsidSect="00650666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6B0F"/>
    <w:multiLevelType w:val="multilevel"/>
    <w:tmpl w:val="F014D9A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26"/>
    <w:rsid w:val="00650666"/>
    <w:rsid w:val="007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35A7F"/>
  <w15:docId w15:val="{2A829BC9-7F90-4D05-B12D-4AF1543D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iu10">
    <w:name w:val="Tiêu đề #1"/>
    <w:basedOn w:val="Normal"/>
    <w:link w:val="Tiu1"/>
    <w:pPr>
      <w:spacing w:after="190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Vnbnnidung0">
    <w:name w:val="Văn bản nội dung"/>
    <w:basedOn w:val="Normal"/>
    <w:link w:val="Vnbnnidung"/>
    <w:pPr>
      <w:spacing w:after="4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spacing w:line="180" w:lineRule="auto"/>
    </w:pPr>
    <w:rPr>
      <w:rFonts w:ascii="Arial" w:eastAsia="Arial" w:hAnsi="Arial" w:cs="Arial"/>
      <w:smallCaps/>
      <w:sz w:val="28"/>
      <w:szCs w:val="28"/>
    </w:rPr>
  </w:style>
  <w:style w:type="paragraph" w:customStyle="1" w:styleId="Vnbnnidung20">
    <w:name w:val="Văn bản nội dung (2)"/>
    <w:basedOn w:val="Normal"/>
    <w:link w:val="Vnbnnidung2"/>
    <w:pPr>
      <w:spacing w:line="209" w:lineRule="auto"/>
    </w:pPr>
    <w:rPr>
      <w:rFonts w:ascii="Arial" w:eastAsia="Arial" w:hAnsi="Arial" w:cs="Arial"/>
      <w:sz w:val="8"/>
      <w:szCs w:val="8"/>
    </w:rPr>
  </w:style>
  <w:style w:type="paragraph" w:customStyle="1" w:styleId="Tiu20">
    <w:name w:val="Tiêu đề #2"/>
    <w:basedOn w:val="Normal"/>
    <w:link w:val="Tiu2"/>
    <w:pPr>
      <w:spacing w:after="100" w:line="32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R+aklzRa67s2F0A/irAKPP8Mxw==">CgMxLjA4AHIhMWZlUEhyV1YxMFZRUkpVSm9vUkNrVV9DRTJqS2wzb2Y2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2829</Characters>
  <Application>Microsoft Office Word</Application>
  <DocSecurity>0</DocSecurity>
  <Lines>46</Lines>
  <Paragraphs>25</Paragraphs>
  <ScaleCrop>false</ScaleCrop>
  <Company>Microsoft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2024-08-28T03:27:00Z</dcterms:created>
  <dcterms:modified xsi:type="dcterms:W3CDTF">2024-08-29T01:14:00Z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5457bf06b8fd0a3488ee5f3bf879d5d794329669cb79c938d165d8ce49a79443</vt:lpwstr>
  </property>
</Properties>
</file>