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35957">
        <w:rPr>
          <w:rFonts w:ascii="Arial" w:hAnsi="Arial" w:cs="Arial"/>
          <w:b/>
          <w:color w:val="010000"/>
          <w:sz w:val="20"/>
        </w:rPr>
        <w:t>VTD</w:t>
      </w:r>
      <w:r w:rsidRPr="00F35957">
        <w:rPr>
          <w:rFonts w:ascii="Arial" w:hAnsi="Arial" w:cs="Arial"/>
          <w:b/>
          <w:color w:val="010000"/>
          <w:sz w:val="20"/>
        </w:rPr>
        <w:t>:</w:t>
      </w:r>
      <w:r w:rsidRPr="00F35957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F35957">
        <w:rPr>
          <w:rFonts w:ascii="Arial" w:hAnsi="Arial" w:cs="Arial"/>
          <w:b/>
          <w:color w:val="010000"/>
          <w:sz w:val="20"/>
        </w:rPr>
        <w:t>2024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On </w:t>
      </w:r>
      <w:r w:rsidRPr="00F35957">
        <w:rPr>
          <w:rFonts w:ascii="Arial" w:hAnsi="Arial" w:cs="Arial"/>
          <w:color w:val="010000"/>
          <w:sz w:val="20"/>
        </w:rPr>
        <w:t>August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23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Vietourist Holdings Joint Stock Company</w:t>
      </w:r>
      <w:r w:rsidRPr="00F35957">
        <w:rPr>
          <w:rFonts w:ascii="Arial" w:hAnsi="Arial" w:cs="Arial"/>
          <w:color w:val="010000"/>
          <w:sz w:val="20"/>
        </w:rPr>
        <w:t xml:space="preserve"> announced General Mandate No. </w:t>
      </w:r>
      <w:r w:rsidRPr="00F35957">
        <w:rPr>
          <w:rFonts w:ascii="Arial" w:hAnsi="Arial" w:cs="Arial"/>
          <w:color w:val="010000"/>
          <w:sz w:val="20"/>
        </w:rPr>
        <w:t>03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>/NQ-DHDCD-VTD as follows</w:t>
      </w:r>
      <w:r w:rsidRPr="00F35957">
        <w:rPr>
          <w:rFonts w:ascii="Arial" w:hAnsi="Arial" w:cs="Arial"/>
          <w:color w:val="010000"/>
          <w:sz w:val="20"/>
        </w:rPr>
        <w:t>: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1:</w:t>
      </w:r>
      <w:r w:rsidRPr="00F35957">
        <w:rPr>
          <w:rFonts w:ascii="Arial" w:hAnsi="Arial" w:cs="Arial"/>
          <w:color w:val="010000"/>
          <w:sz w:val="20"/>
        </w:rPr>
        <w:t xml:space="preserve"> Approve the </w:t>
      </w:r>
      <w:r w:rsidR="007F6A53" w:rsidRPr="00F35957">
        <w:rPr>
          <w:rFonts w:ascii="Arial" w:hAnsi="Arial" w:cs="Arial"/>
          <w:color w:val="010000"/>
          <w:sz w:val="20"/>
        </w:rPr>
        <w:t>P</w:t>
      </w:r>
      <w:r w:rsidRPr="00F35957">
        <w:rPr>
          <w:rFonts w:ascii="Arial" w:hAnsi="Arial" w:cs="Arial"/>
          <w:color w:val="010000"/>
          <w:sz w:val="20"/>
        </w:rPr>
        <w:t xml:space="preserve">roposal to adjust the business plan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</w:t>
      </w:r>
    </w:p>
    <w:p w:rsidR="00F25F62" w:rsidRPr="00F35957" w:rsidRDefault="00F35957" w:rsidP="00F359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The business plan targets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were approved at the Annual General Mandate </w:t>
      </w:r>
      <w:r w:rsidRPr="00F35957">
        <w:rPr>
          <w:rFonts w:ascii="Arial" w:hAnsi="Arial" w:cs="Arial"/>
          <w:color w:val="010000"/>
          <w:sz w:val="20"/>
        </w:rPr>
        <w:t>2024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Unit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Billion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9"/>
        <w:gridCol w:w="2644"/>
        <w:gridCol w:w="1531"/>
        <w:gridCol w:w="1744"/>
        <w:gridCol w:w="2359"/>
      </w:tblGrid>
      <w:tr w:rsidR="00F25F62" w:rsidRPr="00F35957" w:rsidTr="00F35957">
        <w:tc>
          <w:tcPr>
            <w:tcW w:w="4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Results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13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2024</w:t>
            </w:r>
            <w:r w:rsidRPr="00F35957">
              <w:rPr>
                <w:rFonts w:ascii="Arial" w:hAnsi="Arial" w:cs="Arial"/>
                <w:color w:val="010000"/>
                <w:sz w:val="20"/>
              </w:rPr>
              <w:t xml:space="preserve">/ Results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</w:tr>
      <w:tr w:rsidR="00F25F62" w:rsidRPr="00F35957" w:rsidTr="00F35957">
        <w:tc>
          <w:tcPr>
            <w:tcW w:w="4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167.78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400</w:t>
            </w:r>
          </w:p>
        </w:tc>
        <w:tc>
          <w:tcPr>
            <w:tcW w:w="13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238.4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1.16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19</w:t>
            </w:r>
          </w:p>
        </w:tc>
        <w:tc>
          <w:tcPr>
            <w:tcW w:w="13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1640.7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0.67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15</w:t>
            </w:r>
          </w:p>
        </w:tc>
        <w:tc>
          <w:tcPr>
            <w:tcW w:w="13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2266.3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Dividend</w:t>
            </w:r>
          </w:p>
        </w:tc>
        <w:tc>
          <w:tcPr>
            <w:tcW w:w="8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5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5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30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F25F62" w:rsidRPr="00F35957" w:rsidRDefault="00F35957" w:rsidP="00F359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Adjusted business plan targets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Unit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Billion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9"/>
        <w:gridCol w:w="2676"/>
        <w:gridCol w:w="1538"/>
        <w:gridCol w:w="1769"/>
        <w:gridCol w:w="2285"/>
      </w:tblGrid>
      <w:tr w:rsidR="00F25F62" w:rsidRPr="00F35957" w:rsidTr="00F35957">
        <w:tc>
          <w:tcPr>
            <w:tcW w:w="4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4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8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Results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2024</w:t>
            </w:r>
            <w:r w:rsidRPr="00F35957">
              <w:rPr>
                <w:rFonts w:ascii="Arial" w:hAnsi="Arial" w:cs="Arial"/>
                <w:color w:val="010000"/>
                <w:sz w:val="20"/>
              </w:rPr>
              <w:t xml:space="preserve">/ Results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</w:tr>
      <w:tr w:rsidR="00F25F62" w:rsidRPr="00F35957" w:rsidTr="00F35957">
        <w:tc>
          <w:tcPr>
            <w:tcW w:w="4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4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8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167.78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200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119.2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4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8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1.16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259.1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4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8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0.67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2.4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357.8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F25F62" w:rsidRPr="00F35957" w:rsidTr="00F35957">
        <w:tc>
          <w:tcPr>
            <w:tcW w:w="4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4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Dividends</w:t>
            </w:r>
          </w:p>
        </w:tc>
        <w:tc>
          <w:tcPr>
            <w:tcW w:w="8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0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9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5</w:t>
            </w:r>
            <w:r w:rsidRPr="00F3595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2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2: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 xml:space="preserve">Approve the Proposal to cancel the dividend payments for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 and </w:t>
      </w:r>
      <w:r w:rsidRPr="00F35957">
        <w:rPr>
          <w:rFonts w:ascii="Arial" w:hAnsi="Arial" w:cs="Arial"/>
          <w:color w:val="010000"/>
          <w:sz w:val="20"/>
        </w:rPr>
        <w:t>2023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3</w:t>
      </w:r>
      <w:r w:rsidRPr="00F35957">
        <w:rPr>
          <w:rFonts w:ascii="Arial" w:hAnsi="Arial" w:cs="Arial"/>
          <w:color w:val="010000"/>
          <w:sz w:val="20"/>
        </w:rPr>
        <w:t xml:space="preserve">. </w:t>
      </w:r>
      <w:r w:rsidRPr="00F35957">
        <w:rPr>
          <w:rFonts w:ascii="Arial" w:hAnsi="Arial" w:cs="Arial"/>
          <w:color w:val="010000"/>
          <w:sz w:val="20"/>
        </w:rPr>
        <w:t xml:space="preserve">Approve the Proposal to report on </w:t>
      </w:r>
      <w:r w:rsidR="007F6A53" w:rsidRPr="00F35957">
        <w:rPr>
          <w:rFonts w:ascii="Arial" w:hAnsi="Arial" w:cs="Arial"/>
          <w:color w:val="010000"/>
          <w:sz w:val="20"/>
        </w:rPr>
        <w:t xml:space="preserve">using </w:t>
      </w:r>
      <w:r w:rsidRPr="00F35957">
        <w:rPr>
          <w:rFonts w:ascii="Arial" w:hAnsi="Arial" w:cs="Arial"/>
          <w:color w:val="010000"/>
          <w:sz w:val="20"/>
        </w:rPr>
        <w:t xml:space="preserve">capital </w:t>
      </w:r>
      <w:r w:rsidR="007F6A53" w:rsidRPr="00F35957">
        <w:rPr>
          <w:rFonts w:ascii="Arial" w:hAnsi="Arial" w:cs="Arial"/>
          <w:color w:val="010000"/>
          <w:sz w:val="20"/>
        </w:rPr>
        <w:t>obtained</w:t>
      </w:r>
      <w:r w:rsidRPr="00F35957">
        <w:rPr>
          <w:rFonts w:ascii="Arial" w:hAnsi="Arial" w:cs="Arial"/>
          <w:color w:val="010000"/>
          <w:sz w:val="20"/>
        </w:rPr>
        <w:t xml:space="preserve"> from the share issuance to increase charter capital from VND</w:t>
      </w:r>
      <w:r w:rsidRPr="00F35957">
        <w:rPr>
          <w:rFonts w:ascii="Arial" w:hAnsi="Arial" w:cs="Arial"/>
          <w:color w:val="010000"/>
          <w:sz w:val="20"/>
        </w:rPr>
        <w:t>60</w:t>
      </w:r>
      <w:r w:rsidRPr="00F35957">
        <w:rPr>
          <w:rFonts w:ascii="Arial" w:hAnsi="Arial" w:cs="Arial"/>
          <w:color w:val="010000"/>
          <w:sz w:val="20"/>
        </w:rPr>
        <w:t xml:space="preserve"> billion to VND</w:t>
      </w:r>
      <w:r w:rsidRPr="00F35957">
        <w:rPr>
          <w:rFonts w:ascii="Arial" w:hAnsi="Arial" w:cs="Arial"/>
          <w:color w:val="010000"/>
          <w:sz w:val="20"/>
        </w:rPr>
        <w:t>120</w:t>
      </w:r>
      <w:r w:rsidRPr="00F35957">
        <w:rPr>
          <w:rFonts w:ascii="Arial" w:hAnsi="Arial" w:cs="Arial"/>
          <w:color w:val="010000"/>
          <w:sz w:val="20"/>
        </w:rPr>
        <w:t xml:space="preserve"> billion</w:t>
      </w:r>
      <w:r w:rsidRPr="00F35957">
        <w:rPr>
          <w:rFonts w:ascii="Arial" w:hAnsi="Arial" w:cs="Arial"/>
          <w:color w:val="010000"/>
          <w:sz w:val="20"/>
        </w:rPr>
        <w:t xml:space="preserve"> 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1</w:t>
      </w:r>
      <w:r w:rsidRPr="00F35957">
        <w:rPr>
          <w:rFonts w:ascii="Arial" w:hAnsi="Arial" w:cs="Arial"/>
          <w:color w:val="010000"/>
          <w:sz w:val="20"/>
        </w:rPr>
        <w:t xml:space="preserve"> Legal documents of the offering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Annual General Mandate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February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18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 with </w:t>
      </w:r>
      <w:r w:rsidRPr="00F35957">
        <w:rPr>
          <w:rFonts w:ascii="Arial" w:hAnsi="Arial" w:cs="Arial"/>
          <w:color w:val="010000"/>
          <w:sz w:val="20"/>
        </w:rPr>
        <w:t xml:space="preserve">Proposal No. </w:t>
      </w:r>
      <w:r w:rsidRPr="00F35957">
        <w:rPr>
          <w:rFonts w:ascii="Arial" w:hAnsi="Arial" w:cs="Arial"/>
          <w:color w:val="010000"/>
          <w:sz w:val="20"/>
        </w:rPr>
        <w:t>16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/TT-DHDCD-VTD dated </w:t>
      </w:r>
      <w:r w:rsidRPr="00F35957">
        <w:rPr>
          <w:rFonts w:ascii="Arial" w:hAnsi="Arial" w:cs="Arial"/>
          <w:color w:val="010000"/>
          <w:sz w:val="20"/>
        </w:rPr>
        <w:t>January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26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="007F6A53" w:rsidRPr="00F35957">
        <w:rPr>
          <w:rFonts w:ascii="Arial" w:hAnsi="Arial" w:cs="Arial"/>
          <w:color w:val="010000"/>
          <w:sz w:val="20"/>
        </w:rPr>
        <w:t xml:space="preserve"> on approving the offering plan </w:t>
      </w:r>
      <w:r w:rsidRPr="00F35957">
        <w:rPr>
          <w:rFonts w:ascii="Arial" w:hAnsi="Arial" w:cs="Arial"/>
          <w:color w:val="010000"/>
          <w:sz w:val="20"/>
        </w:rPr>
        <w:t>to existing shareholders;</w:t>
      </w:r>
    </w:p>
    <w:p w:rsidR="00F25F62" w:rsidRPr="00F35957" w:rsidRDefault="007F6A53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Board </w:t>
      </w:r>
      <w:r w:rsidR="00F35957" w:rsidRPr="00F35957">
        <w:rPr>
          <w:rFonts w:ascii="Arial" w:hAnsi="Arial" w:cs="Arial"/>
          <w:color w:val="010000"/>
          <w:sz w:val="20"/>
        </w:rPr>
        <w:t xml:space="preserve">Resolution No. </w:t>
      </w:r>
      <w:r w:rsidR="00F35957" w:rsidRPr="00F35957">
        <w:rPr>
          <w:rFonts w:ascii="Arial" w:hAnsi="Arial" w:cs="Arial"/>
          <w:color w:val="010000"/>
          <w:sz w:val="20"/>
        </w:rPr>
        <w:t>01</w:t>
      </w:r>
      <w:r w:rsidR="00F35957" w:rsidRPr="00F35957">
        <w:rPr>
          <w:rFonts w:ascii="Arial" w:hAnsi="Arial" w:cs="Arial"/>
          <w:color w:val="010000"/>
          <w:sz w:val="20"/>
        </w:rPr>
        <w:t>/</w:t>
      </w:r>
      <w:r w:rsidR="00F35957" w:rsidRPr="00F35957">
        <w:rPr>
          <w:rFonts w:ascii="Arial" w:hAnsi="Arial" w:cs="Arial"/>
          <w:color w:val="010000"/>
          <w:sz w:val="20"/>
        </w:rPr>
        <w:t>2022</w:t>
      </w:r>
      <w:r w:rsidR="00F35957" w:rsidRPr="00F35957">
        <w:rPr>
          <w:rFonts w:ascii="Arial" w:hAnsi="Arial" w:cs="Arial"/>
          <w:color w:val="010000"/>
          <w:sz w:val="20"/>
        </w:rPr>
        <w:t xml:space="preserve">/NQ-HDQT-VTD dated </w:t>
      </w:r>
      <w:r w:rsidR="00F35957" w:rsidRPr="00F35957">
        <w:rPr>
          <w:rFonts w:ascii="Arial" w:hAnsi="Arial" w:cs="Arial"/>
          <w:color w:val="010000"/>
          <w:sz w:val="20"/>
        </w:rPr>
        <w:t>March</w:t>
      </w:r>
      <w:r w:rsidR="00F35957" w:rsidRPr="00F35957">
        <w:rPr>
          <w:rFonts w:ascii="Arial" w:hAnsi="Arial" w:cs="Arial"/>
          <w:color w:val="010000"/>
          <w:sz w:val="20"/>
        </w:rPr>
        <w:t xml:space="preserve"> </w:t>
      </w:r>
      <w:r w:rsidR="00F35957" w:rsidRPr="00F35957">
        <w:rPr>
          <w:rFonts w:ascii="Arial" w:hAnsi="Arial" w:cs="Arial"/>
          <w:color w:val="010000"/>
          <w:sz w:val="20"/>
        </w:rPr>
        <w:t>11</w:t>
      </w:r>
      <w:r w:rsidR="00F35957" w:rsidRPr="00F35957">
        <w:rPr>
          <w:rFonts w:ascii="Arial" w:hAnsi="Arial" w:cs="Arial"/>
          <w:color w:val="010000"/>
          <w:sz w:val="20"/>
        </w:rPr>
        <w:t xml:space="preserve">, </w:t>
      </w:r>
      <w:r w:rsidR="00F35957" w:rsidRPr="00F35957">
        <w:rPr>
          <w:rFonts w:ascii="Arial" w:hAnsi="Arial" w:cs="Arial"/>
          <w:color w:val="010000"/>
          <w:sz w:val="20"/>
        </w:rPr>
        <w:t>2022</w:t>
      </w:r>
      <w:r w:rsidR="00F35957" w:rsidRPr="00F35957">
        <w:rPr>
          <w:rFonts w:ascii="Arial" w:hAnsi="Arial" w:cs="Arial"/>
          <w:color w:val="010000"/>
          <w:sz w:val="20"/>
        </w:rPr>
        <w:t xml:space="preserve"> </w:t>
      </w:r>
      <w:r w:rsidR="00F35957" w:rsidRPr="00F35957">
        <w:rPr>
          <w:rFonts w:ascii="Arial" w:hAnsi="Arial" w:cs="Arial"/>
          <w:color w:val="010000"/>
          <w:sz w:val="20"/>
        </w:rPr>
        <w:t>on approving the implementation of the plan for the public offering;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Certificate of registration for additional public offering No. </w:t>
      </w:r>
      <w:r w:rsidRPr="00F35957">
        <w:rPr>
          <w:rFonts w:ascii="Arial" w:hAnsi="Arial" w:cs="Arial"/>
          <w:color w:val="010000"/>
          <w:sz w:val="20"/>
        </w:rPr>
        <w:t>201</w:t>
      </w:r>
      <w:r w:rsidRPr="00F35957">
        <w:rPr>
          <w:rFonts w:ascii="Arial" w:hAnsi="Arial" w:cs="Arial"/>
          <w:color w:val="010000"/>
          <w:sz w:val="20"/>
        </w:rPr>
        <w:t xml:space="preserve">/GCN-UBCK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12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 of the Chair of the State Securities Commission;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Notice of the public offering No. </w:t>
      </w:r>
      <w:r w:rsidRPr="00F35957">
        <w:rPr>
          <w:rFonts w:ascii="Arial" w:hAnsi="Arial" w:cs="Arial"/>
          <w:color w:val="010000"/>
          <w:sz w:val="20"/>
        </w:rPr>
        <w:t>03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/TB-VTD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14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lastRenderedPageBreak/>
        <w:t>Report on</w:t>
      </w:r>
      <w:r w:rsidR="007F6A53" w:rsidRPr="00F35957">
        <w:rPr>
          <w:rFonts w:ascii="Arial" w:hAnsi="Arial" w:cs="Arial"/>
          <w:color w:val="010000"/>
          <w:sz w:val="20"/>
        </w:rPr>
        <w:t xml:space="preserve"> the</w:t>
      </w:r>
      <w:r w:rsidRPr="00F35957">
        <w:rPr>
          <w:rFonts w:ascii="Arial" w:hAnsi="Arial" w:cs="Arial"/>
          <w:color w:val="010000"/>
          <w:sz w:val="20"/>
        </w:rPr>
        <w:t xml:space="preserve"> results of the public offering No. </w:t>
      </w:r>
      <w:r w:rsidRPr="00F35957">
        <w:rPr>
          <w:rFonts w:ascii="Arial" w:hAnsi="Arial" w:cs="Arial"/>
          <w:color w:val="010000"/>
          <w:sz w:val="20"/>
        </w:rPr>
        <w:t>07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/BC-VTD dated </w:t>
      </w:r>
      <w:r w:rsidRPr="00F35957">
        <w:rPr>
          <w:rFonts w:ascii="Arial" w:hAnsi="Arial" w:cs="Arial"/>
          <w:color w:val="010000"/>
          <w:sz w:val="20"/>
        </w:rPr>
        <w:t>September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30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Official Dispatch No. </w:t>
      </w:r>
      <w:r w:rsidRPr="00F35957">
        <w:rPr>
          <w:rFonts w:ascii="Arial" w:hAnsi="Arial" w:cs="Arial"/>
          <w:color w:val="010000"/>
          <w:sz w:val="20"/>
        </w:rPr>
        <w:t>6558</w:t>
      </w:r>
      <w:r w:rsidRPr="00F35957">
        <w:rPr>
          <w:rFonts w:ascii="Arial" w:hAnsi="Arial" w:cs="Arial"/>
          <w:color w:val="010000"/>
          <w:sz w:val="20"/>
        </w:rPr>
        <w:t xml:space="preserve">/UBCK-QLCB dated </w:t>
      </w:r>
      <w:r w:rsidRPr="00F35957">
        <w:rPr>
          <w:rFonts w:ascii="Arial" w:hAnsi="Arial" w:cs="Arial"/>
          <w:color w:val="010000"/>
          <w:sz w:val="20"/>
        </w:rPr>
        <w:t>October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3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 xml:space="preserve"> of the State Securities Commission on re</w:t>
      </w:r>
      <w:r w:rsidRPr="00F35957">
        <w:rPr>
          <w:rFonts w:ascii="Arial" w:hAnsi="Arial" w:cs="Arial"/>
          <w:color w:val="010000"/>
          <w:sz w:val="20"/>
        </w:rPr>
        <w:t>porting results of the public offering;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General Mandate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March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15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 with </w:t>
      </w:r>
      <w:r w:rsidRPr="00F35957">
        <w:rPr>
          <w:rFonts w:ascii="Arial" w:hAnsi="Arial" w:cs="Arial"/>
          <w:color w:val="010000"/>
          <w:sz w:val="20"/>
        </w:rPr>
        <w:t xml:space="preserve">Proposal No. </w:t>
      </w:r>
      <w:r w:rsidRPr="00F35957">
        <w:rPr>
          <w:rFonts w:ascii="Arial" w:hAnsi="Arial" w:cs="Arial"/>
          <w:color w:val="010000"/>
          <w:sz w:val="20"/>
        </w:rPr>
        <w:t>07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/TT-DHDCD-VTD dated </w:t>
      </w:r>
      <w:r w:rsidRPr="00F35957">
        <w:rPr>
          <w:rFonts w:ascii="Arial" w:hAnsi="Arial" w:cs="Arial"/>
          <w:color w:val="010000"/>
          <w:sz w:val="20"/>
        </w:rPr>
        <w:t>March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14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 on reporting the situation of </w:t>
      </w:r>
      <w:r w:rsidR="007F6A53" w:rsidRPr="00F35957">
        <w:rPr>
          <w:rFonts w:ascii="Arial" w:hAnsi="Arial" w:cs="Arial"/>
          <w:color w:val="010000"/>
          <w:sz w:val="20"/>
        </w:rPr>
        <w:t>using capital</w:t>
      </w:r>
      <w:r w:rsidRPr="00F35957">
        <w:rPr>
          <w:rFonts w:ascii="Arial" w:hAnsi="Arial" w:cs="Arial"/>
          <w:color w:val="010000"/>
          <w:sz w:val="20"/>
        </w:rPr>
        <w:t xml:space="preserve"> and adjusting the purpose of </w:t>
      </w:r>
      <w:r w:rsidR="007F6A53" w:rsidRPr="00F35957">
        <w:rPr>
          <w:rFonts w:ascii="Arial" w:hAnsi="Arial" w:cs="Arial"/>
          <w:color w:val="010000"/>
          <w:sz w:val="20"/>
        </w:rPr>
        <w:t>using capital</w:t>
      </w:r>
      <w:r w:rsidRPr="00F35957">
        <w:rPr>
          <w:rFonts w:ascii="Arial" w:hAnsi="Arial" w:cs="Arial"/>
          <w:color w:val="010000"/>
          <w:sz w:val="20"/>
        </w:rPr>
        <w:t xml:space="preserve"> of the </w:t>
      </w:r>
      <w:r w:rsidR="007F6A53" w:rsidRPr="00F35957">
        <w:rPr>
          <w:rFonts w:ascii="Arial" w:hAnsi="Arial" w:cs="Arial"/>
          <w:color w:val="010000"/>
          <w:sz w:val="20"/>
        </w:rPr>
        <w:t xml:space="preserve">offering plan </w:t>
      </w:r>
      <w:r w:rsidRPr="00F35957">
        <w:rPr>
          <w:rFonts w:ascii="Arial" w:hAnsi="Arial" w:cs="Arial"/>
          <w:color w:val="010000"/>
          <w:sz w:val="20"/>
        </w:rPr>
        <w:t xml:space="preserve">to existing shareholders approved at the General Meeting of Shareholders </w:t>
      </w:r>
      <w:r w:rsidRPr="00F35957">
        <w:rPr>
          <w:rFonts w:ascii="Arial" w:hAnsi="Arial" w:cs="Arial"/>
          <w:color w:val="010000"/>
          <w:sz w:val="20"/>
        </w:rPr>
        <w:t>2022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Report on </w:t>
      </w:r>
      <w:r w:rsidR="007F6A53" w:rsidRPr="00F35957">
        <w:rPr>
          <w:rFonts w:ascii="Arial" w:hAnsi="Arial" w:cs="Arial"/>
          <w:color w:val="010000"/>
          <w:sz w:val="20"/>
        </w:rPr>
        <w:t xml:space="preserve">changing </w:t>
      </w:r>
      <w:r w:rsidRPr="00F35957">
        <w:rPr>
          <w:rFonts w:ascii="Arial" w:hAnsi="Arial" w:cs="Arial"/>
          <w:color w:val="010000"/>
          <w:sz w:val="20"/>
        </w:rPr>
        <w:t xml:space="preserve">the plan to use capital/proceeds from the offering/issuance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/BC-VTD dated </w:t>
      </w:r>
      <w:r w:rsidRPr="00F35957">
        <w:rPr>
          <w:rFonts w:ascii="Arial" w:hAnsi="Arial" w:cs="Arial"/>
          <w:color w:val="010000"/>
          <w:sz w:val="20"/>
        </w:rPr>
        <w:t>March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16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 of </w:t>
      </w:r>
      <w:r w:rsidRPr="00F35957">
        <w:rPr>
          <w:rFonts w:ascii="Arial" w:hAnsi="Arial" w:cs="Arial"/>
          <w:color w:val="010000"/>
          <w:sz w:val="20"/>
        </w:rPr>
        <w:t xml:space="preserve">Vietourist Holdings Joint Stock </w:t>
      </w:r>
      <w:r w:rsidRPr="00F35957">
        <w:rPr>
          <w:rFonts w:ascii="Arial" w:hAnsi="Arial" w:cs="Arial"/>
          <w:color w:val="010000"/>
          <w:sz w:val="20"/>
        </w:rPr>
        <w:t>Company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Extraordinary General Mandate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February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18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with </w:t>
      </w:r>
      <w:r w:rsidRPr="00F35957">
        <w:rPr>
          <w:rFonts w:ascii="Arial" w:hAnsi="Arial" w:cs="Arial"/>
          <w:color w:val="010000"/>
          <w:sz w:val="20"/>
        </w:rPr>
        <w:t xml:space="preserve">Proposal No. </w:t>
      </w:r>
      <w:r w:rsidRPr="00F35957">
        <w:rPr>
          <w:rFonts w:ascii="Arial" w:hAnsi="Arial" w:cs="Arial"/>
          <w:color w:val="010000"/>
          <w:sz w:val="20"/>
        </w:rPr>
        <w:t>03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>/TT-DHDCD-VT</w:t>
      </w:r>
      <w:r w:rsidR="007F6A53" w:rsidRPr="00F35957">
        <w:rPr>
          <w:rFonts w:ascii="Arial" w:hAnsi="Arial" w:cs="Arial"/>
          <w:color w:val="010000"/>
          <w:sz w:val="20"/>
        </w:rPr>
        <w:t>D</w:t>
      </w:r>
      <w:r w:rsidRPr="00F35957">
        <w:rPr>
          <w:rFonts w:ascii="Arial" w:hAnsi="Arial" w:cs="Arial"/>
          <w:color w:val="010000"/>
          <w:sz w:val="20"/>
        </w:rPr>
        <w:t xml:space="preserve"> dated </w:t>
      </w:r>
      <w:r w:rsidRPr="00F35957">
        <w:rPr>
          <w:rFonts w:ascii="Arial" w:hAnsi="Arial" w:cs="Arial"/>
          <w:color w:val="010000"/>
          <w:sz w:val="20"/>
        </w:rPr>
        <w:t>February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15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on the Report on the implementation of the plan for asset investment and financial investment;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Annua</w:t>
      </w:r>
      <w:r w:rsidRPr="00F35957">
        <w:rPr>
          <w:rFonts w:ascii="Arial" w:hAnsi="Arial" w:cs="Arial"/>
          <w:color w:val="010000"/>
          <w:sz w:val="20"/>
        </w:rPr>
        <w:t xml:space="preserve">l General Mandate No. </w:t>
      </w:r>
      <w:r w:rsidRPr="00F35957">
        <w:rPr>
          <w:rFonts w:ascii="Arial" w:hAnsi="Arial" w:cs="Arial"/>
          <w:color w:val="010000"/>
          <w:sz w:val="20"/>
        </w:rPr>
        <w:t>02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April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6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with </w:t>
      </w:r>
      <w:r w:rsidRPr="00F35957">
        <w:rPr>
          <w:rFonts w:ascii="Arial" w:hAnsi="Arial" w:cs="Arial"/>
          <w:color w:val="010000"/>
          <w:sz w:val="20"/>
        </w:rPr>
        <w:t xml:space="preserve">Proposal No. </w:t>
      </w:r>
      <w:r w:rsidRPr="00F35957">
        <w:rPr>
          <w:rFonts w:ascii="Arial" w:hAnsi="Arial" w:cs="Arial"/>
          <w:color w:val="010000"/>
          <w:sz w:val="20"/>
        </w:rPr>
        <w:t>09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/TT-DHDCD-VTD dated </w:t>
      </w:r>
      <w:r w:rsidRPr="00F35957">
        <w:rPr>
          <w:rFonts w:ascii="Arial" w:hAnsi="Arial" w:cs="Arial"/>
          <w:color w:val="010000"/>
          <w:sz w:val="20"/>
        </w:rPr>
        <w:t>April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5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of the Chair of the Board of Directors on the Report on the implementation of the plan for asset investment and financial investme</w:t>
      </w:r>
      <w:r w:rsidRPr="00F35957">
        <w:rPr>
          <w:rFonts w:ascii="Arial" w:hAnsi="Arial" w:cs="Arial"/>
          <w:color w:val="010000"/>
          <w:sz w:val="20"/>
        </w:rPr>
        <w:t>nt.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Resolution No. </w:t>
      </w:r>
      <w:r w:rsidRPr="00F35957">
        <w:rPr>
          <w:rFonts w:ascii="Arial" w:hAnsi="Arial" w:cs="Arial"/>
          <w:color w:val="010000"/>
          <w:sz w:val="20"/>
        </w:rPr>
        <w:t>19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/NQ-HDQT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11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of the Board of Directors on approving the plan to use the amount of VND</w:t>
      </w:r>
      <w:r w:rsidRPr="00F35957">
        <w:rPr>
          <w:rFonts w:ascii="Arial" w:hAnsi="Arial" w:cs="Arial"/>
          <w:color w:val="010000"/>
          <w:sz w:val="20"/>
        </w:rPr>
        <w:t>10</w:t>
      </w:r>
      <w:r w:rsidRPr="00F35957">
        <w:rPr>
          <w:rFonts w:ascii="Arial" w:hAnsi="Arial" w:cs="Arial"/>
          <w:color w:val="010000"/>
          <w:sz w:val="20"/>
        </w:rPr>
        <w:t xml:space="preserve"> billion collected from the recovery of the deposit to buy the capital contribution of Mr. Doan Xuan Tien at </w:t>
      </w:r>
      <w:r w:rsidRPr="00F35957">
        <w:rPr>
          <w:rFonts w:ascii="Arial" w:hAnsi="Arial" w:cs="Arial"/>
          <w:color w:val="010000"/>
          <w:sz w:val="20"/>
        </w:rPr>
        <w:t>Doan Gia QB Invest</w:t>
      </w:r>
      <w:r w:rsidRPr="00F35957">
        <w:rPr>
          <w:rFonts w:ascii="Arial" w:hAnsi="Arial" w:cs="Arial"/>
          <w:color w:val="010000"/>
          <w:sz w:val="20"/>
        </w:rPr>
        <w:t>ment Limited Liability Company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Report </w:t>
      </w:r>
      <w:r w:rsidR="007F6A53" w:rsidRPr="00F35957">
        <w:rPr>
          <w:rFonts w:ascii="Arial" w:hAnsi="Arial" w:cs="Arial"/>
          <w:color w:val="010000"/>
          <w:sz w:val="20"/>
        </w:rPr>
        <w:t xml:space="preserve">on changing </w:t>
      </w:r>
      <w:r w:rsidRPr="00F35957">
        <w:rPr>
          <w:rFonts w:ascii="Arial" w:hAnsi="Arial" w:cs="Arial"/>
          <w:color w:val="010000"/>
          <w:sz w:val="20"/>
        </w:rPr>
        <w:t xml:space="preserve">the plan to use the proceeds from the offering No. </w:t>
      </w:r>
      <w:r w:rsidRPr="00F35957">
        <w:rPr>
          <w:rFonts w:ascii="Arial" w:hAnsi="Arial" w:cs="Arial"/>
          <w:color w:val="010000"/>
          <w:sz w:val="20"/>
        </w:rPr>
        <w:t>02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/BC-VTD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12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of </w:t>
      </w:r>
      <w:r w:rsidRPr="00F35957">
        <w:rPr>
          <w:rFonts w:ascii="Arial" w:hAnsi="Arial" w:cs="Arial"/>
          <w:color w:val="010000"/>
          <w:sz w:val="20"/>
        </w:rPr>
        <w:t>Vietourist Holdings Joint Stock Company</w:t>
      </w:r>
      <w:r w:rsidRPr="00F35957">
        <w:rPr>
          <w:rFonts w:ascii="Arial" w:hAnsi="Arial" w:cs="Arial"/>
          <w:color w:val="010000"/>
          <w:sz w:val="20"/>
        </w:rPr>
        <w:t>;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2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General information about the offering</w:t>
      </w:r>
      <w:r w:rsidRPr="00F35957">
        <w:rPr>
          <w:rFonts w:ascii="Arial" w:hAnsi="Arial" w:cs="Arial"/>
          <w:color w:val="010000"/>
          <w:sz w:val="20"/>
        </w:rPr>
        <w:t>: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Actual contributed charter capital before the capital increase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60,000,000,000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Actual contributed charter capital after the capital increase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120,000,000,000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The number of issued shares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6,000,000</w:t>
      </w:r>
      <w:r w:rsidRPr="00F35957">
        <w:rPr>
          <w:rFonts w:ascii="Arial" w:hAnsi="Arial" w:cs="Arial"/>
          <w:color w:val="010000"/>
          <w:sz w:val="20"/>
        </w:rPr>
        <w:t xml:space="preserve"> shares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Issuance price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10,000</w:t>
      </w:r>
      <w:r w:rsidRPr="00F35957">
        <w:rPr>
          <w:rFonts w:ascii="Arial" w:hAnsi="Arial" w:cs="Arial"/>
          <w:color w:val="010000"/>
          <w:sz w:val="20"/>
        </w:rPr>
        <w:t>/share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Total value of</w:t>
      </w:r>
      <w:r w:rsidRPr="00F35957">
        <w:rPr>
          <w:rFonts w:ascii="Arial" w:hAnsi="Arial" w:cs="Arial"/>
          <w:color w:val="010000"/>
          <w:sz w:val="20"/>
        </w:rPr>
        <w:t xml:space="preserve"> issued shares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60,000,000,000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Issuance time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Q</w:t>
      </w:r>
      <w:r w:rsidRPr="00F35957">
        <w:rPr>
          <w:rFonts w:ascii="Arial" w:hAnsi="Arial" w:cs="Arial"/>
          <w:color w:val="010000"/>
          <w:sz w:val="20"/>
        </w:rPr>
        <w:t>3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2022</w:t>
      </w:r>
    </w:p>
    <w:p w:rsidR="00F25F62" w:rsidRPr="00F35957" w:rsidRDefault="00F35957" w:rsidP="00F359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The initial purpose of using capital</w:t>
      </w:r>
      <w:r w:rsidRPr="00F35957">
        <w:rPr>
          <w:rFonts w:ascii="Arial" w:hAnsi="Arial" w:cs="Arial"/>
          <w:color w:val="010000"/>
          <w:sz w:val="20"/>
        </w:rPr>
        <w:t>:</w:t>
      </w:r>
    </w:p>
    <w:p w:rsidR="00F25F62" w:rsidRPr="00F35957" w:rsidRDefault="00F35957" w:rsidP="00F359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Invest in vehicle fleets of Vietrip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45,946,666,670</w:t>
      </w:r>
    </w:p>
    <w:p w:rsidR="00F25F62" w:rsidRPr="00F35957" w:rsidRDefault="00F35957" w:rsidP="00F359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Long-term debt repayment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14,053,333,330</w:t>
      </w:r>
    </w:p>
    <w:p w:rsidR="00F25F62" w:rsidRPr="00F35957" w:rsidRDefault="00F35957" w:rsidP="00F35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lastRenderedPageBreak/>
        <w:t xml:space="preserve">Purpose of capital use adjusted according to the General Mandate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2023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March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15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2023:</w:t>
      </w:r>
    </w:p>
    <w:p w:rsidR="00F25F62" w:rsidRPr="00F35957" w:rsidRDefault="00F35957" w:rsidP="00F35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Invest in vehicle fleets of Vietrip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39,150,940,000</w:t>
      </w:r>
    </w:p>
    <w:p w:rsidR="00F25F62" w:rsidRPr="00F35957" w:rsidRDefault="00F35957" w:rsidP="00F35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Deposit to purchase </w:t>
      </w:r>
      <w:r w:rsidRPr="00F35957">
        <w:rPr>
          <w:rFonts w:ascii="Arial" w:hAnsi="Arial" w:cs="Arial"/>
          <w:color w:val="010000"/>
          <w:sz w:val="20"/>
        </w:rPr>
        <w:t>100</w:t>
      </w:r>
      <w:r w:rsidRPr="00F35957">
        <w:rPr>
          <w:rFonts w:ascii="Arial" w:hAnsi="Arial" w:cs="Arial"/>
          <w:color w:val="010000"/>
          <w:sz w:val="20"/>
        </w:rPr>
        <w:t xml:space="preserve">% of Mr. Doan Xuan Tien's capital contribution </w:t>
      </w:r>
      <w:r w:rsidRPr="00F35957">
        <w:rPr>
          <w:rFonts w:ascii="Arial" w:hAnsi="Arial" w:cs="Arial"/>
          <w:color w:val="010000"/>
          <w:sz w:val="20"/>
        </w:rPr>
        <w:t>a</w:t>
      </w:r>
      <w:r w:rsidRPr="00F35957">
        <w:rPr>
          <w:rFonts w:ascii="Arial" w:hAnsi="Arial" w:cs="Arial"/>
          <w:color w:val="010000"/>
          <w:sz w:val="20"/>
        </w:rPr>
        <w:t xml:space="preserve">t </w:t>
      </w:r>
      <w:r w:rsidRPr="00F35957">
        <w:rPr>
          <w:rFonts w:ascii="Arial" w:hAnsi="Arial" w:cs="Arial"/>
          <w:color w:val="010000"/>
          <w:sz w:val="20"/>
        </w:rPr>
        <w:t>Doan Gia QB Investment Limited Liability Company: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10,000,000,000</w:t>
      </w:r>
    </w:p>
    <w:p w:rsidR="00F25F62" w:rsidRPr="00F35957" w:rsidRDefault="00F35957" w:rsidP="00F35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Deposit to purchase </w:t>
      </w:r>
      <w:r w:rsidRPr="00F35957">
        <w:rPr>
          <w:rFonts w:ascii="Arial" w:hAnsi="Arial" w:cs="Arial"/>
          <w:color w:val="010000"/>
          <w:sz w:val="20"/>
        </w:rPr>
        <w:t>5</w:t>
      </w:r>
      <w:r w:rsidRPr="00F35957">
        <w:rPr>
          <w:rFonts w:ascii="Arial" w:hAnsi="Arial" w:cs="Arial"/>
          <w:color w:val="010000"/>
          <w:sz w:val="20"/>
        </w:rPr>
        <w:t xml:space="preserve"> Boutique hotels at the project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Regal Legend Quang Binh International Urban - Tourism Area "Bao Ninh </w:t>
      </w:r>
      <w:r w:rsidRPr="00F35957">
        <w:rPr>
          <w:rFonts w:ascii="Arial" w:hAnsi="Arial" w:cs="Arial"/>
          <w:color w:val="010000"/>
          <w:sz w:val="20"/>
        </w:rPr>
        <w:t>1</w:t>
      </w:r>
      <w:r w:rsidRPr="00F35957">
        <w:rPr>
          <w:rFonts w:ascii="Arial" w:hAnsi="Arial" w:cs="Arial"/>
          <w:color w:val="010000"/>
          <w:sz w:val="20"/>
        </w:rPr>
        <w:t xml:space="preserve"> Urban Area". VND</w:t>
      </w:r>
      <w:r w:rsidRPr="00F35957">
        <w:rPr>
          <w:rFonts w:ascii="Arial" w:hAnsi="Arial" w:cs="Arial"/>
          <w:color w:val="010000"/>
          <w:sz w:val="20"/>
        </w:rPr>
        <w:t>10,849,060,000</w:t>
      </w:r>
    </w:p>
    <w:p w:rsidR="00F25F62" w:rsidRPr="00F35957" w:rsidRDefault="00F35957" w:rsidP="00F35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Purpose of using capital</w:t>
      </w:r>
      <w:r w:rsidRPr="00F35957">
        <w:rPr>
          <w:rFonts w:ascii="Arial" w:hAnsi="Arial" w:cs="Arial"/>
          <w:color w:val="010000"/>
          <w:sz w:val="20"/>
        </w:rPr>
        <w:t xml:space="preserve"> adjusted according to the Extraordinary General Mandate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February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18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, the Annual General Mandate No. </w:t>
      </w:r>
      <w:r w:rsidRPr="00F35957">
        <w:rPr>
          <w:rFonts w:ascii="Arial" w:hAnsi="Arial" w:cs="Arial"/>
          <w:color w:val="010000"/>
          <w:sz w:val="20"/>
        </w:rPr>
        <w:t>02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April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6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and the Board </w:t>
      </w:r>
      <w:r w:rsidRPr="00F35957">
        <w:rPr>
          <w:rFonts w:ascii="Arial" w:hAnsi="Arial" w:cs="Arial"/>
          <w:color w:val="010000"/>
          <w:sz w:val="20"/>
        </w:rPr>
        <w:t xml:space="preserve">Resolution No. </w:t>
      </w:r>
      <w:r w:rsidRPr="00F35957">
        <w:rPr>
          <w:rFonts w:ascii="Arial" w:hAnsi="Arial" w:cs="Arial"/>
          <w:color w:val="010000"/>
          <w:sz w:val="20"/>
        </w:rPr>
        <w:t>19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/NQ-HDQT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11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</w:t>
      </w:r>
      <w:r w:rsidRPr="00F35957">
        <w:rPr>
          <w:rFonts w:ascii="Arial" w:hAnsi="Arial" w:cs="Arial"/>
          <w:color w:val="010000"/>
          <w:sz w:val="20"/>
        </w:rPr>
        <w:t>024</w:t>
      </w:r>
      <w:r w:rsidRPr="00F35957">
        <w:rPr>
          <w:rFonts w:ascii="Arial" w:hAnsi="Arial" w:cs="Arial"/>
          <w:color w:val="010000"/>
          <w:sz w:val="20"/>
        </w:rPr>
        <w:t>:</w:t>
      </w:r>
    </w:p>
    <w:p w:rsidR="00F25F62" w:rsidRPr="00F35957" w:rsidRDefault="00F35957" w:rsidP="00F359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Invest in vehicle fleets of Vietrip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39,150,940,000</w:t>
      </w:r>
      <w:r w:rsidRPr="00F35957">
        <w:rPr>
          <w:rFonts w:ascii="Arial" w:hAnsi="Arial" w:cs="Arial"/>
          <w:color w:val="010000"/>
          <w:sz w:val="20"/>
        </w:rPr>
        <w:t>,</w:t>
      </w:r>
    </w:p>
    <w:p w:rsidR="00F25F62" w:rsidRPr="00F35957" w:rsidRDefault="00F35957" w:rsidP="00F359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Deposit to purchase the Boutique hotel at the project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Regal Legend Quang Binh International Urban - Tourism Area "Bao Ninh </w:t>
      </w:r>
      <w:r w:rsidRPr="00F35957">
        <w:rPr>
          <w:rFonts w:ascii="Arial" w:hAnsi="Arial" w:cs="Arial"/>
          <w:color w:val="010000"/>
          <w:sz w:val="20"/>
        </w:rPr>
        <w:t>1</w:t>
      </w:r>
      <w:r w:rsidRPr="00F35957">
        <w:rPr>
          <w:rFonts w:ascii="Arial" w:hAnsi="Arial" w:cs="Arial"/>
          <w:color w:val="010000"/>
          <w:sz w:val="20"/>
        </w:rPr>
        <w:t xml:space="preserve"> Urban Area". VND</w:t>
      </w:r>
      <w:r w:rsidRPr="00F35957">
        <w:rPr>
          <w:rFonts w:ascii="Arial" w:hAnsi="Arial" w:cs="Arial"/>
          <w:color w:val="010000"/>
          <w:sz w:val="20"/>
        </w:rPr>
        <w:t>10,849,060,000</w:t>
      </w:r>
    </w:p>
    <w:p w:rsidR="00F25F62" w:rsidRPr="00F35957" w:rsidRDefault="00F35957" w:rsidP="00F359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Supplement t</w:t>
      </w:r>
      <w:r w:rsidRPr="00F35957">
        <w:rPr>
          <w:rFonts w:ascii="Arial" w:hAnsi="Arial" w:cs="Arial"/>
          <w:color w:val="010000"/>
          <w:sz w:val="20"/>
        </w:rPr>
        <w:t>he company's mobilized capital</w:t>
      </w:r>
      <w:r w:rsidRPr="00F35957">
        <w:rPr>
          <w:rFonts w:ascii="Arial" w:hAnsi="Arial" w:cs="Arial"/>
          <w:color w:val="010000"/>
          <w:sz w:val="20"/>
        </w:rPr>
        <w:t>:</w:t>
      </w:r>
      <w:r w:rsidRPr="00F35957">
        <w:rPr>
          <w:rFonts w:ascii="Arial" w:hAnsi="Arial" w:cs="Arial"/>
          <w:color w:val="010000"/>
          <w:sz w:val="20"/>
        </w:rPr>
        <w:t xml:space="preserve"> VND</w:t>
      </w:r>
      <w:r w:rsidRPr="00F35957">
        <w:rPr>
          <w:rFonts w:ascii="Arial" w:hAnsi="Arial" w:cs="Arial"/>
          <w:color w:val="010000"/>
          <w:sz w:val="20"/>
        </w:rPr>
        <w:t>10,000,000,000</w:t>
      </w:r>
    </w:p>
    <w:p w:rsidR="00F25F62" w:rsidRPr="00F35957" w:rsidRDefault="00F35957" w:rsidP="00F359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Report on using capital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Pursuant to </w:t>
      </w:r>
      <w:r w:rsidRPr="00F35957">
        <w:rPr>
          <w:rFonts w:ascii="Arial" w:hAnsi="Arial" w:cs="Arial"/>
          <w:color w:val="010000"/>
          <w:sz w:val="20"/>
        </w:rPr>
        <w:t xml:space="preserve">Extraordinary General Mandate No. </w:t>
      </w:r>
      <w:r w:rsidRPr="00F35957">
        <w:rPr>
          <w:rFonts w:ascii="Arial" w:hAnsi="Arial" w:cs="Arial"/>
          <w:color w:val="010000"/>
          <w:sz w:val="20"/>
        </w:rPr>
        <w:t>01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February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18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 xml:space="preserve">Annual General Mandate No. </w:t>
      </w:r>
      <w:r w:rsidRPr="00F35957">
        <w:rPr>
          <w:rFonts w:ascii="Arial" w:hAnsi="Arial" w:cs="Arial"/>
          <w:color w:val="010000"/>
          <w:sz w:val="20"/>
        </w:rPr>
        <w:t>02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/NQ-DHDCD-VTD dated </w:t>
      </w:r>
      <w:r w:rsidRPr="00F35957">
        <w:rPr>
          <w:rFonts w:ascii="Arial" w:hAnsi="Arial" w:cs="Arial"/>
          <w:color w:val="010000"/>
          <w:sz w:val="20"/>
        </w:rPr>
        <w:t>April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6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and Board </w:t>
      </w:r>
      <w:r w:rsidRPr="00F35957">
        <w:rPr>
          <w:rFonts w:ascii="Arial" w:hAnsi="Arial" w:cs="Arial"/>
          <w:color w:val="010000"/>
          <w:sz w:val="20"/>
        </w:rPr>
        <w:t xml:space="preserve">Resolution No. </w:t>
      </w:r>
      <w:r w:rsidRPr="00F35957">
        <w:rPr>
          <w:rFonts w:ascii="Arial" w:hAnsi="Arial" w:cs="Arial"/>
          <w:color w:val="010000"/>
          <w:sz w:val="20"/>
        </w:rPr>
        <w:t>19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/NQ-HDQT dated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11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 xml:space="preserve">on canceling the plan to purchase </w:t>
      </w:r>
      <w:r w:rsidRPr="00F35957">
        <w:rPr>
          <w:rFonts w:ascii="Arial" w:hAnsi="Arial" w:cs="Arial"/>
          <w:color w:val="010000"/>
          <w:sz w:val="20"/>
        </w:rPr>
        <w:t>100</w:t>
      </w:r>
      <w:r w:rsidRPr="00F35957">
        <w:rPr>
          <w:rFonts w:ascii="Arial" w:hAnsi="Arial" w:cs="Arial"/>
          <w:color w:val="010000"/>
          <w:sz w:val="20"/>
        </w:rPr>
        <w:t xml:space="preserve">% of Mr. Doan Xuan Tien's capital contribution at </w:t>
      </w:r>
      <w:r w:rsidRPr="00F35957">
        <w:rPr>
          <w:rFonts w:ascii="Arial" w:hAnsi="Arial" w:cs="Arial"/>
          <w:color w:val="010000"/>
          <w:sz w:val="20"/>
        </w:rPr>
        <w:t>Doan Gia Qb Investment Limited Liability Company</w:t>
      </w:r>
      <w:r w:rsidRPr="00F35957">
        <w:rPr>
          <w:rFonts w:ascii="Arial" w:hAnsi="Arial" w:cs="Arial"/>
          <w:color w:val="010000"/>
          <w:sz w:val="20"/>
        </w:rPr>
        <w:t xml:space="preserve"> and using the amount of VND</w:t>
      </w:r>
      <w:r w:rsidRPr="00F35957">
        <w:rPr>
          <w:rFonts w:ascii="Arial" w:hAnsi="Arial" w:cs="Arial"/>
          <w:color w:val="010000"/>
          <w:sz w:val="20"/>
        </w:rPr>
        <w:t>10</w:t>
      </w:r>
      <w:r w:rsidRPr="00F35957">
        <w:rPr>
          <w:rFonts w:ascii="Arial" w:hAnsi="Arial" w:cs="Arial"/>
          <w:color w:val="010000"/>
          <w:sz w:val="20"/>
        </w:rPr>
        <w:t xml:space="preserve"> billion collected from the recovery of the deposit to purchase Mr</w:t>
      </w:r>
      <w:r w:rsidRPr="00F35957">
        <w:rPr>
          <w:rFonts w:ascii="Arial" w:hAnsi="Arial" w:cs="Arial"/>
          <w:color w:val="010000"/>
          <w:sz w:val="20"/>
        </w:rPr>
        <w:t xml:space="preserve">. Doan Xuan Tien's capital contribution at </w:t>
      </w:r>
      <w:r w:rsidRPr="00F35957">
        <w:rPr>
          <w:rFonts w:ascii="Arial" w:hAnsi="Arial" w:cs="Arial"/>
          <w:color w:val="010000"/>
          <w:sz w:val="20"/>
        </w:rPr>
        <w:t>Doan Gia QB Investment Limited Liability Company</w:t>
      </w:r>
      <w:r w:rsidRPr="00F35957">
        <w:rPr>
          <w:rFonts w:ascii="Arial" w:hAnsi="Arial" w:cs="Arial"/>
          <w:color w:val="010000"/>
          <w:sz w:val="20"/>
        </w:rPr>
        <w:t xml:space="preserve"> to supplement the Company's working capital.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On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>, the Company terminated the contract with Mr. Doan Xuan Tien according to the Minutes of T</w:t>
      </w:r>
      <w:r w:rsidRPr="00F35957">
        <w:rPr>
          <w:rFonts w:ascii="Arial" w:hAnsi="Arial" w:cs="Arial"/>
          <w:color w:val="010000"/>
          <w:sz w:val="20"/>
        </w:rPr>
        <w:t xml:space="preserve">ermination No. </w:t>
      </w:r>
      <w:r w:rsidRPr="00F35957">
        <w:rPr>
          <w:rFonts w:ascii="Arial" w:hAnsi="Arial" w:cs="Arial"/>
          <w:color w:val="010000"/>
          <w:sz w:val="20"/>
        </w:rPr>
        <w:t>0107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>/BBTL/VTD-DXT.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On </w:t>
      </w:r>
      <w:r w:rsidRPr="00F35957">
        <w:rPr>
          <w:rFonts w:ascii="Arial" w:hAnsi="Arial" w:cs="Arial"/>
          <w:color w:val="010000"/>
          <w:sz w:val="20"/>
        </w:rPr>
        <w:t>July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11</w:t>
      </w:r>
      <w:r w:rsidRPr="00F35957">
        <w:rPr>
          <w:rFonts w:ascii="Arial" w:hAnsi="Arial" w:cs="Arial"/>
          <w:color w:val="010000"/>
          <w:sz w:val="20"/>
        </w:rPr>
        <w:t xml:space="preserve">, 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 xml:space="preserve">, the Board of Directors announced Resolution No. </w:t>
      </w:r>
      <w:r w:rsidRPr="00F35957">
        <w:rPr>
          <w:rFonts w:ascii="Arial" w:hAnsi="Arial" w:cs="Arial"/>
          <w:color w:val="010000"/>
          <w:sz w:val="20"/>
        </w:rPr>
        <w:t>19</w:t>
      </w:r>
      <w:r w:rsidRPr="00F35957">
        <w:rPr>
          <w:rFonts w:ascii="Arial" w:hAnsi="Arial" w:cs="Arial"/>
          <w:color w:val="010000"/>
          <w:sz w:val="20"/>
        </w:rPr>
        <w:t>/</w:t>
      </w:r>
      <w:r w:rsidRPr="00F35957">
        <w:rPr>
          <w:rFonts w:ascii="Arial" w:hAnsi="Arial" w:cs="Arial"/>
          <w:color w:val="010000"/>
          <w:sz w:val="20"/>
        </w:rPr>
        <w:t>2024</w:t>
      </w:r>
      <w:r w:rsidRPr="00F35957">
        <w:rPr>
          <w:rFonts w:ascii="Arial" w:hAnsi="Arial" w:cs="Arial"/>
          <w:color w:val="010000"/>
          <w:sz w:val="20"/>
        </w:rPr>
        <w:t>/NQ-HDQT on approving the plan to use the amount of VND</w:t>
      </w:r>
      <w:r w:rsidRPr="00F35957">
        <w:rPr>
          <w:rFonts w:ascii="Arial" w:hAnsi="Arial" w:cs="Arial"/>
          <w:color w:val="010000"/>
          <w:sz w:val="20"/>
        </w:rPr>
        <w:t>10</w:t>
      </w:r>
      <w:r w:rsidRPr="00F35957">
        <w:rPr>
          <w:rFonts w:ascii="Arial" w:hAnsi="Arial" w:cs="Arial"/>
          <w:color w:val="010000"/>
          <w:sz w:val="20"/>
        </w:rPr>
        <w:t xml:space="preserve"> billion collected from the recovery of the deposit to purchase the capital contribution of Mr. Doan</w:t>
      </w:r>
      <w:r w:rsidRPr="00F35957">
        <w:rPr>
          <w:rFonts w:ascii="Arial" w:hAnsi="Arial" w:cs="Arial"/>
          <w:color w:val="010000"/>
          <w:sz w:val="20"/>
        </w:rPr>
        <w:t xml:space="preserve"> Xuan Tien at </w:t>
      </w:r>
      <w:r w:rsidRPr="00F35957">
        <w:rPr>
          <w:rFonts w:ascii="Arial" w:hAnsi="Arial" w:cs="Arial"/>
          <w:color w:val="010000"/>
          <w:sz w:val="20"/>
        </w:rPr>
        <w:t>Doan Gia QB Investment Limited Liability Company</w:t>
      </w:r>
      <w:r w:rsidRPr="00F35957">
        <w:rPr>
          <w:rFonts w:ascii="Arial" w:hAnsi="Arial" w:cs="Arial"/>
          <w:color w:val="010000"/>
          <w:sz w:val="20"/>
        </w:rPr>
        <w:t>.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The Board of Directors would like to report on the use of capital collected from the issuance as follows</w:t>
      </w:r>
      <w:r w:rsidRPr="00F35957">
        <w:rPr>
          <w:rFonts w:ascii="Arial" w:hAnsi="Arial" w:cs="Arial"/>
          <w:color w:val="010000"/>
          <w:sz w:val="20"/>
        </w:rPr>
        <w:t>: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>Unit VND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7"/>
        <w:gridCol w:w="3556"/>
        <w:gridCol w:w="1674"/>
        <w:gridCol w:w="1711"/>
        <w:gridCol w:w="1399"/>
      </w:tblGrid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Usage content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According to the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adjusted plan (VND)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Used</w:t>
            </w:r>
          </w:p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(VND)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lastRenderedPageBreak/>
              <w:t>1</w:t>
            </w: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Invest in fleets of VieTrip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39,150,940,000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39,150,940,000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Paid 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Deposit to purchase the Boutique hotel at the project</w:t>
            </w:r>
            <w:r w:rsidRPr="00F35957">
              <w:rPr>
                <w:rFonts w:ascii="Arial" w:hAnsi="Arial" w:cs="Arial"/>
                <w:color w:val="010000"/>
                <w:sz w:val="20"/>
              </w:rPr>
              <w:t>:</w:t>
            </w:r>
            <w:r w:rsidRPr="00F3595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35957">
              <w:rPr>
                <w:rFonts w:ascii="Arial" w:hAnsi="Arial" w:cs="Arial"/>
                <w:color w:val="010000"/>
                <w:sz w:val="20"/>
              </w:rPr>
              <w:t>Regal Legend Quang Binh International Urban - Tourism Area</w:t>
            </w:r>
          </w:p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“Bao Ninh 1 Urban Area” Investor: Dat Xanh Mien Trung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10,849,060,000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10,849,060,000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 xml:space="preserve">Paid 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Supplement the working capital of the Company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Paid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Pay plane tickets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3,880,000,000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3,880,000,000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Paid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Pay the hotel service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4,140,000,000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4,140,000,000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Paid</w:t>
            </w:r>
          </w:p>
        </w:tc>
      </w:tr>
      <w:tr w:rsidR="00F25F62" w:rsidRPr="00F35957" w:rsidTr="00F35957">
        <w:tc>
          <w:tcPr>
            <w:tcW w:w="3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Pay the catering service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1,980,000,000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1,980,000,000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Paid</w:t>
            </w:r>
          </w:p>
        </w:tc>
      </w:tr>
      <w:tr w:rsidR="00F25F62" w:rsidRPr="00F35957" w:rsidTr="00F35957">
        <w:tc>
          <w:tcPr>
            <w:tcW w:w="2347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60,000,000,000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35957" w:rsidP="00F35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35957">
              <w:rPr>
                <w:rFonts w:ascii="Arial" w:hAnsi="Arial" w:cs="Arial"/>
                <w:color w:val="010000"/>
                <w:sz w:val="20"/>
              </w:rPr>
              <w:t>60,000,000,000</w:t>
            </w:r>
          </w:p>
        </w:tc>
        <w:tc>
          <w:tcPr>
            <w:tcW w:w="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F62" w:rsidRPr="00F35957" w:rsidRDefault="00F25F62" w:rsidP="00F3595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4: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>Approve the report on using</w:t>
      </w:r>
      <w:r w:rsidRPr="00F35957">
        <w:rPr>
          <w:rFonts w:ascii="Arial" w:hAnsi="Arial" w:cs="Arial"/>
          <w:color w:val="010000"/>
          <w:sz w:val="20"/>
        </w:rPr>
        <w:t xml:space="preserve"> capital for the share issuance to increase charter capital from VND</w:t>
      </w:r>
      <w:r w:rsidRPr="00F35957">
        <w:rPr>
          <w:rFonts w:ascii="Arial" w:hAnsi="Arial" w:cs="Arial"/>
          <w:color w:val="010000"/>
          <w:sz w:val="20"/>
        </w:rPr>
        <w:t>60</w:t>
      </w:r>
      <w:r w:rsidRPr="00F35957">
        <w:rPr>
          <w:rFonts w:ascii="Arial" w:hAnsi="Arial" w:cs="Arial"/>
          <w:color w:val="010000"/>
          <w:sz w:val="20"/>
        </w:rPr>
        <w:t xml:space="preserve"> billion to VND</w:t>
      </w:r>
      <w:r w:rsidRPr="00F35957">
        <w:rPr>
          <w:rFonts w:ascii="Arial" w:hAnsi="Arial" w:cs="Arial"/>
          <w:color w:val="010000"/>
          <w:sz w:val="20"/>
        </w:rPr>
        <w:t>120</w:t>
      </w:r>
      <w:r w:rsidRPr="00F35957">
        <w:rPr>
          <w:rFonts w:ascii="Arial" w:hAnsi="Arial" w:cs="Arial"/>
          <w:color w:val="010000"/>
          <w:sz w:val="20"/>
        </w:rPr>
        <w:t xml:space="preserve"> billion, which has been audited</w:t>
      </w:r>
      <w:r w:rsidRPr="00F35957">
        <w:rPr>
          <w:rFonts w:ascii="Arial" w:hAnsi="Arial" w:cs="Arial"/>
          <w:color w:val="010000"/>
          <w:sz w:val="20"/>
        </w:rPr>
        <w:t xml:space="preserve"> 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5:</w:t>
      </w:r>
      <w:r w:rsidRPr="00F35957">
        <w:rPr>
          <w:rFonts w:ascii="Arial" w:hAnsi="Arial" w:cs="Arial"/>
          <w:color w:val="010000"/>
          <w:sz w:val="20"/>
        </w:rPr>
        <w:t xml:space="preserve"> </w:t>
      </w:r>
      <w:r w:rsidRPr="00F35957">
        <w:rPr>
          <w:rFonts w:ascii="Arial" w:hAnsi="Arial" w:cs="Arial"/>
          <w:color w:val="010000"/>
          <w:sz w:val="20"/>
        </w:rPr>
        <w:t xml:space="preserve">Approve the report on the dismissal and election of additional members of the Supervisory Board for the term </w:t>
      </w:r>
      <w:r w:rsidRPr="00F35957">
        <w:rPr>
          <w:rFonts w:ascii="Arial" w:hAnsi="Arial" w:cs="Arial"/>
          <w:color w:val="010000"/>
          <w:sz w:val="20"/>
        </w:rPr>
        <w:t>2021</w:t>
      </w:r>
      <w:r w:rsidRPr="00F35957">
        <w:rPr>
          <w:rFonts w:ascii="Arial" w:hAnsi="Arial" w:cs="Arial"/>
          <w:color w:val="010000"/>
          <w:sz w:val="20"/>
        </w:rPr>
        <w:t>-</w:t>
      </w:r>
      <w:r w:rsidRPr="00F35957">
        <w:rPr>
          <w:rFonts w:ascii="Arial" w:hAnsi="Arial" w:cs="Arial"/>
          <w:color w:val="010000"/>
          <w:sz w:val="20"/>
        </w:rPr>
        <w:t>2025</w:t>
      </w:r>
      <w:r w:rsidRPr="00F35957">
        <w:rPr>
          <w:rFonts w:ascii="Arial" w:hAnsi="Arial" w:cs="Arial"/>
          <w:color w:val="010000"/>
          <w:sz w:val="20"/>
        </w:rPr>
        <w:t xml:space="preserve"> 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6:</w:t>
      </w:r>
      <w:r w:rsidRPr="00F35957">
        <w:rPr>
          <w:rFonts w:ascii="Arial" w:hAnsi="Arial" w:cs="Arial"/>
          <w:color w:val="010000"/>
          <w:sz w:val="20"/>
        </w:rPr>
        <w:t xml:space="preserve"> Approve the election results of additional members of the Company’s Supervisory Board for the term </w:t>
      </w:r>
      <w:r w:rsidRPr="00F35957">
        <w:rPr>
          <w:rFonts w:ascii="Arial" w:hAnsi="Arial" w:cs="Arial"/>
          <w:color w:val="010000"/>
          <w:sz w:val="20"/>
        </w:rPr>
        <w:t>2021</w:t>
      </w:r>
      <w:r w:rsidRPr="00F35957">
        <w:rPr>
          <w:rFonts w:ascii="Arial" w:hAnsi="Arial" w:cs="Arial"/>
          <w:color w:val="010000"/>
          <w:sz w:val="20"/>
        </w:rPr>
        <w:t>-</w:t>
      </w:r>
      <w:r w:rsidRPr="00F35957">
        <w:rPr>
          <w:rFonts w:ascii="Arial" w:hAnsi="Arial" w:cs="Arial"/>
          <w:color w:val="010000"/>
          <w:sz w:val="20"/>
        </w:rPr>
        <w:t>2025</w:t>
      </w:r>
      <w:r w:rsidRPr="00F35957">
        <w:rPr>
          <w:rFonts w:ascii="Arial" w:hAnsi="Arial" w:cs="Arial"/>
          <w:color w:val="010000"/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4810"/>
        <w:gridCol w:w="2509"/>
      </w:tblGrid>
      <w:tr w:rsidR="00F35957" w:rsidRPr="00F35957" w:rsidTr="00F3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eastAsia="vi-VN"/>
              </w:rPr>
              <w:t>No.</w:t>
            </w:r>
          </w:p>
        </w:tc>
        <w:tc>
          <w:tcPr>
            <w:tcW w:w="2667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eastAsia="vi-VN"/>
              </w:rPr>
              <w:t>Elected Candidate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eastAsia="vi-VN"/>
              </w:rPr>
              <w:t>Result</w:t>
            </w:r>
          </w:p>
        </w:tc>
      </w:tr>
      <w:tr w:rsidR="00F35957" w:rsidRPr="00F35957" w:rsidTr="00F3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  <w:lang w:val="vi-VN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val="vi-VN" w:eastAsia="vi-VN"/>
              </w:rPr>
              <w:t>1</w:t>
            </w:r>
          </w:p>
        </w:tc>
        <w:tc>
          <w:tcPr>
            <w:tcW w:w="2667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eastAsia="vi-VN"/>
              </w:rPr>
              <w:t>Mr. Le Viet Anh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F35957" w:rsidRPr="00F35957" w:rsidRDefault="00F35957" w:rsidP="00F35957">
            <w:pPr>
              <w:widowControl/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</w:rPr>
            </w:pPr>
            <w:r w:rsidRPr="00F35957">
              <w:rPr>
                <w:rFonts w:ascii="Arial" w:eastAsia="Times New Roman" w:hAnsi="Arial" w:cs="Arial"/>
                <w:color w:val="010000"/>
                <w:sz w:val="20"/>
                <w:lang w:eastAsia="vi-VN"/>
              </w:rPr>
              <w:t>Elected</w:t>
            </w:r>
          </w:p>
        </w:tc>
      </w:tr>
    </w:tbl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Article </w:t>
      </w:r>
      <w:r w:rsidRPr="00F35957">
        <w:rPr>
          <w:rFonts w:ascii="Arial" w:hAnsi="Arial" w:cs="Arial"/>
          <w:color w:val="010000"/>
          <w:sz w:val="20"/>
        </w:rPr>
        <w:t>7:</w:t>
      </w:r>
      <w:r w:rsidRPr="00F35957">
        <w:rPr>
          <w:rFonts w:ascii="Arial" w:hAnsi="Arial" w:cs="Arial"/>
          <w:color w:val="010000"/>
          <w:sz w:val="20"/>
        </w:rPr>
        <w:t xml:space="preserve"> This</w:t>
      </w:r>
      <w:r w:rsidRPr="00F35957">
        <w:rPr>
          <w:rFonts w:ascii="Arial" w:hAnsi="Arial" w:cs="Arial"/>
          <w:color w:val="010000"/>
          <w:sz w:val="20"/>
        </w:rPr>
        <w:t xml:space="preserve"> General Mandate takes effect from the date of its signing.</w:t>
      </w:r>
    </w:p>
    <w:p w:rsidR="00F25F62" w:rsidRPr="00F35957" w:rsidRDefault="00F35957" w:rsidP="00F3595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5957">
        <w:rPr>
          <w:rFonts w:ascii="Arial" w:hAnsi="Arial" w:cs="Arial"/>
          <w:color w:val="010000"/>
          <w:sz w:val="20"/>
        </w:rPr>
        <w:t xml:space="preserve">Shareholders, the Board of Directors, the Executive Board, departments/divisions, divisions, and relevant individuals are responsible for implementing </w:t>
      </w:r>
      <w:r w:rsidRPr="00F35957">
        <w:rPr>
          <w:rFonts w:ascii="Arial" w:hAnsi="Arial" w:cs="Arial"/>
          <w:color w:val="010000"/>
          <w:sz w:val="20"/>
        </w:rPr>
        <w:t>this General Mandate./.</w:t>
      </w:r>
      <w:bookmarkEnd w:id="0"/>
    </w:p>
    <w:sectPr w:rsidR="00F25F62" w:rsidRPr="00F35957" w:rsidSect="00F3595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1F5"/>
    <w:multiLevelType w:val="multilevel"/>
    <w:tmpl w:val="888601D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511FA9"/>
    <w:multiLevelType w:val="multilevel"/>
    <w:tmpl w:val="694AABC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1710"/>
    <w:multiLevelType w:val="multilevel"/>
    <w:tmpl w:val="40B8640C"/>
    <w:lvl w:ilvl="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F40EA6"/>
    <w:multiLevelType w:val="multilevel"/>
    <w:tmpl w:val="ADC4C15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D02AA7"/>
    <w:multiLevelType w:val="multilevel"/>
    <w:tmpl w:val="85744D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4E4365"/>
    <w:multiLevelType w:val="multilevel"/>
    <w:tmpl w:val="4DDA22BA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F061F"/>
    <w:multiLevelType w:val="multilevel"/>
    <w:tmpl w:val="873A4154"/>
    <w:lvl w:ilvl="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4234F1"/>
    <w:multiLevelType w:val="multilevel"/>
    <w:tmpl w:val="6F8227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62"/>
    <w:rsid w:val="007F6A53"/>
    <w:rsid w:val="00F25F62"/>
    <w:rsid w:val="00F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5DE53"/>
  <w15:docId w15:val="{F7627EE4-17A6-4129-80B4-E798A628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38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pacing w:line="338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Heading31">
    <w:name w:val="Heading #3"/>
    <w:basedOn w:val="Normal"/>
    <w:link w:val="Heading30"/>
    <w:pPr>
      <w:spacing w:line="26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1UR37msGaUVEWq5dKyDvH1OHw==">CgMxLjA4AHIhMW1ZNWFHbU1ERWU1NC1aeFU4aFFQZVYzaUZjRlNpeGwx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1102</Words>
  <Characters>6155</Characters>
  <Application>Microsoft Office Word</Application>
  <DocSecurity>0</DocSecurity>
  <Lines>193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2024-08-27T03:59:00Z</dcterms:created>
  <dcterms:modified xsi:type="dcterms:W3CDTF">2024-08-28T04:00:00Z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e1cd3aa3fbd98488a2d4e4deb4af6b76e86fea0f1836a3144fdda3631878888f</vt:lpwstr>
  </property>
</Properties>
</file>