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81" w:rsidRPr="00CE7FB0" w:rsidRDefault="00CE7FB0" w:rsidP="005113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E7FB0">
        <w:rPr>
          <w:rFonts w:ascii="Arial" w:hAnsi="Arial" w:cs="Arial"/>
          <w:b/>
          <w:color w:val="010000"/>
          <w:sz w:val="20"/>
        </w:rPr>
        <w:t>CCC: Board Resolution No.36</w:t>
      </w:r>
    </w:p>
    <w:p w:rsidR="00BE3E81" w:rsidRPr="00CE7FB0" w:rsidRDefault="00CE7FB0" w:rsidP="005113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t>On August 1, 2024, CDC Construction Joint Stock Company announced Resolution No. 36/2024/NQ-HDQT as follows:</w:t>
      </w:r>
    </w:p>
    <w:p w:rsidR="00BE3E81" w:rsidRPr="00CE7FB0" w:rsidRDefault="00CE7FB0" w:rsidP="005113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t>‎‎Article 1. Approve the plan on collecting shareholders' opinions via a ballot to approve the General Mandate with the following contents:</w:t>
      </w:r>
    </w:p>
    <w:p w:rsidR="00BE3E81" w:rsidRPr="00CE7FB0" w:rsidRDefault="00CE7FB0" w:rsidP="00511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  <w:sectPr w:rsidR="00BE3E81" w:rsidRPr="00CE7FB0" w:rsidSect="00CE7FB0">
          <w:pgSz w:w="11907" w:h="16839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CE7FB0">
        <w:rPr>
          <w:rFonts w:ascii="Arial" w:hAnsi="Arial" w:cs="Arial"/>
          <w:color w:val="010000"/>
          <w:sz w:val="20"/>
        </w:rPr>
        <w:t>Supplement business lines: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7"/>
        <w:gridCol w:w="4350"/>
      </w:tblGrid>
      <w:tr w:rsidR="00BE3E81" w:rsidRPr="00CE7FB0" w:rsidTr="00CE7FB0">
        <w:tc>
          <w:tcPr>
            <w:tcW w:w="25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E3E81" w:rsidRPr="00CE7FB0" w:rsidRDefault="00CE7FB0" w:rsidP="0051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lastRenderedPageBreak/>
              <w:t>(Code) Registered business lines before the supplement</w:t>
            </w:r>
          </w:p>
        </w:tc>
        <w:tc>
          <w:tcPr>
            <w:tcW w:w="2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E3E81" w:rsidRPr="00CE7FB0" w:rsidRDefault="00CE7FB0" w:rsidP="0051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(Code) Registered business lines after supplement(*)</w:t>
            </w:r>
          </w:p>
        </w:tc>
      </w:tr>
      <w:tr w:rsidR="00BE3E81" w:rsidRPr="00CE7FB0" w:rsidTr="00CE7FB0">
        <w:tc>
          <w:tcPr>
            <w:tcW w:w="25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E3E81" w:rsidRPr="00CE7FB0" w:rsidRDefault="00CE7FB0" w:rsidP="0051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(7110) Related architectural and technical consulting activities:</w:t>
            </w:r>
          </w:p>
          <w:p w:rsidR="00BE3E81" w:rsidRPr="00CE7FB0" w:rsidRDefault="00CE7FB0" w:rsidP="0051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Details: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Construction project management consultancy (within the scope of the registered practicing certificate)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Cost management consulting class 2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water supply and drainage for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electrical systems for civil and industrial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Construction supervision of civil and industrial construction works (field: construction and completion)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architectural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civil works, technical infrastructure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general architectural layout, interior, and exterior for civil and industrial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power lines and transformer stations up to 35KV, power systems for civil and industrial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power lines and transformer stations up to 110 KV; design of electrical system design for civil and industrial works and traffic signal control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road construction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bridge, road and technical infrastructure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lastRenderedPageBreak/>
              <w:t>Design of bridge and road construction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civil and industrial structure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Geodetic survey for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Geological survey for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Hydrological survey for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Supervision of installation of construction equipment, installation of water supply and drainage technology equipment - water environment for civil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Supervision of construction of civil, industrial and technical infrastructure works</w:t>
            </w:r>
          </w:p>
        </w:tc>
        <w:tc>
          <w:tcPr>
            <w:tcW w:w="2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E3E81" w:rsidRPr="00CE7FB0" w:rsidRDefault="00CE7FB0" w:rsidP="0051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lastRenderedPageBreak/>
              <w:t>(7110) Related architectural and technical consulting activities:</w:t>
            </w:r>
          </w:p>
          <w:p w:rsidR="00BE3E81" w:rsidRPr="00CE7FB0" w:rsidRDefault="00CE7FB0" w:rsidP="0051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Details: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Construction project management consultancy (within the scope of the registered practicing certificate)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Cost management consulting class 2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water supply and drainage for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electrical systems for civil and industrial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Construction supervision of civil and industrial construction works (field: construction and completion)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architectural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civil works, technical infrastructure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general architectural layout, interior, and exterior for civil and industrial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power lines and transformer stations up to 35KV, power systems for civil and industrial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power lines and transformer stations up to 110 KV; design of electrical system design for civil and industrial works and traffic signal control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lastRenderedPageBreak/>
              <w:t>Design of road construction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bridges, roads and technical infrastructure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bridges and road construction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of civil and industrial structure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Geodetic survey for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Geological survey for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Hydrological survey for construction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Supervision of installation of construction equipment, installation of water supply and drainage technology equipment - water environment for civil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Supervision of construction of civil, industrial and technical infrastructure works</w:t>
            </w:r>
          </w:p>
          <w:p w:rsidR="00BE3E81" w:rsidRPr="00CE7FB0" w:rsidRDefault="00CE7FB0" w:rsidP="00511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E7FB0">
              <w:rPr>
                <w:rFonts w:ascii="Arial" w:hAnsi="Arial" w:cs="Arial"/>
                <w:color w:val="010000"/>
                <w:sz w:val="20"/>
              </w:rPr>
              <w:t>Design and review of industrial building designs</w:t>
            </w:r>
            <w:bookmarkStart w:id="0" w:name="_GoBack"/>
            <w:bookmarkEnd w:id="0"/>
          </w:p>
        </w:tc>
      </w:tr>
    </w:tbl>
    <w:p w:rsidR="00BE3E81" w:rsidRPr="00CE7FB0" w:rsidRDefault="00CE7FB0" w:rsidP="005113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lastRenderedPageBreak/>
        <w:t>(*) Details of the above business lines may be adjusted and supplemented as required by competent authorities within the scope of the industry code approved by the General Meeting of Shareholders.</w:t>
      </w:r>
    </w:p>
    <w:p w:rsidR="00BE3E81" w:rsidRPr="00CE7FB0" w:rsidRDefault="00CE7FB0" w:rsidP="00511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t>Amend the Company's Charter according to the supplemented content of business lines approved by the General Meeting of Shareholders.</w:t>
      </w:r>
    </w:p>
    <w:p w:rsidR="00BE3E81" w:rsidRPr="00CE7FB0" w:rsidRDefault="00CE7FB0" w:rsidP="00511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t>Expected time to collect shareholders' opinions via a ballot: From August 20, 2024 to September 10, 2024</w:t>
      </w:r>
    </w:p>
    <w:p w:rsidR="00BE3E81" w:rsidRPr="00CE7FB0" w:rsidRDefault="00CE7FB0" w:rsidP="00511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t>Record date to collect shareholders' opinions: August 15, 2024.</w:t>
      </w:r>
    </w:p>
    <w:p w:rsidR="00BE3E81" w:rsidRPr="00CE7FB0" w:rsidRDefault="00CE7FB0" w:rsidP="005113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t>‎‎Article 2. The Board of Directors authorized the Chair of the Board of Directors/the General Manager of the Company to decide on the contents under the authorities of the Board of Directors related to collecting shareholders' opinions via a ballot mentioned above until the completion of collecting shareholders' opinions via a ballot and approve the decision of the General Meeting of Shareholders in accordance with Article 1 of this Resolution, provisions of law, and the Company’s Charter.</w:t>
      </w:r>
    </w:p>
    <w:p w:rsidR="00BE3E81" w:rsidRPr="00CE7FB0" w:rsidRDefault="00CE7FB0" w:rsidP="005113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t>‎‎Article 3. Members of the Board of Directors, the General Manager of the Company, and relevant Heads of departments/ divisions are responsible for implementing this Resolution./.</w:t>
      </w:r>
    </w:p>
    <w:p w:rsidR="00BE3E81" w:rsidRPr="00CE7FB0" w:rsidRDefault="00CE7FB0" w:rsidP="005113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FB0">
        <w:rPr>
          <w:rFonts w:ascii="Arial" w:hAnsi="Arial" w:cs="Arial"/>
          <w:color w:val="010000"/>
          <w:sz w:val="20"/>
        </w:rPr>
        <w:t>‎‎Article 4. This Resolution takes effect from the date of its signing</w:t>
      </w:r>
      <w:proofErr w:type="gramStart"/>
      <w:r w:rsidRPr="00CE7FB0">
        <w:rPr>
          <w:rFonts w:ascii="Arial" w:hAnsi="Arial" w:cs="Arial"/>
          <w:color w:val="010000"/>
          <w:sz w:val="20"/>
        </w:rPr>
        <w:t>./</w:t>
      </w:r>
      <w:proofErr w:type="gramEnd"/>
      <w:r w:rsidRPr="00CE7FB0">
        <w:rPr>
          <w:rFonts w:ascii="Arial" w:hAnsi="Arial" w:cs="Arial"/>
          <w:color w:val="010000"/>
          <w:sz w:val="20"/>
        </w:rPr>
        <w:t>.</w:t>
      </w:r>
    </w:p>
    <w:sectPr w:rsidR="00BE3E81" w:rsidRPr="00CE7FB0" w:rsidSect="00CE7FB0">
      <w:type w:val="continuous"/>
      <w:pgSz w:w="11907" w:h="16839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D6F"/>
    <w:multiLevelType w:val="multilevel"/>
    <w:tmpl w:val="0750E73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34786D"/>
    <w:multiLevelType w:val="multilevel"/>
    <w:tmpl w:val="5F20B1F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9D1EF2"/>
    <w:multiLevelType w:val="multilevel"/>
    <w:tmpl w:val="6560A3F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81"/>
    <w:rsid w:val="0051138E"/>
    <w:rsid w:val="00BE3E81"/>
    <w:rsid w:val="00CE7FB0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FBBA3A-217C-4338-9B3F-E7672171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B0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color w:val="BB6575"/>
      <w:sz w:val="15"/>
      <w:szCs w:val="15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ED6E7C"/>
      <w:sz w:val="17"/>
      <w:szCs w:val="17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/>
      <w:strike w:val="0"/>
      <w:color w:val="ED6E7C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8" w:lineRule="auto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314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pPr>
      <w:spacing w:line="298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color w:val="BB6575"/>
      <w:sz w:val="15"/>
      <w:szCs w:val="15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color w:val="ED6E7C"/>
      <w:sz w:val="17"/>
      <w:szCs w:val="17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mallCaps/>
      <w:color w:val="ED6E7C"/>
      <w:sz w:val="20"/>
      <w:szCs w:val="20"/>
    </w:rPr>
  </w:style>
  <w:style w:type="table" w:styleId="TableGrid">
    <w:name w:val="Table Grid"/>
    <w:basedOn w:val="TableNormal"/>
    <w:uiPriority w:val="39"/>
    <w:rsid w:val="00330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o25orCCNgOyea8rIk3WHTCniQ==">CgMxLjA4AHIhMWhLLVN0OU9HeHd6eUZVREs4REVQZHBCdk81NmNpWFM2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675</Words>
  <Characters>3929</Characters>
  <Application>Microsoft Office Word</Application>
  <DocSecurity>0</DocSecurity>
  <Lines>106</Lines>
  <Paragraphs>56</Paragraphs>
  <ScaleCrop>false</ScaleCrop>
  <Company>Microsoft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2024-08-05T03:34:00Z</dcterms:created>
  <dcterms:modified xsi:type="dcterms:W3CDTF">2024-08-06T02:27:00Z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5d2044d7d8bbc0b0aa58a6c0dd77ea801e415c36dbfd835cfc6f5c2a98cbe44e</vt:lpwstr>
  </property>
</Properties>
</file>