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DC" w:rsidRPr="00FB5BA9" w:rsidRDefault="00FB5BA9" w:rsidP="00F6036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B5BA9">
        <w:rPr>
          <w:rFonts w:ascii="Arial" w:hAnsi="Arial" w:cs="Arial"/>
          <w:b/>
          <w:color w:val="010000"/>
          <w:sz w:val="20"/>
        </w:rPr>
        <w:t xml:space="preserve">GCF: Explanation </w:t>
      </w:r>
      <w:r w:rsidR="00F60364">
        <w:rPr>
          <w:rFonts w:ascii="Arial" w:hAnsi="Arial" w:cs="Arial"/>
          <w:b/>
          <w:color w:val="010000"/>
          <w:sz w:val="20"/>
        </w:rPr>
        <w:t>on</w:t>
      </w:r>
      <w:r w:rsidRPr="00FB5BA9">
        <w:rPr>
          <w:rFonts w:ascii="Arial" w:hAnsi="Arial" w:cs="Arial"/>
          <w:b/>
          <w:color w:val="010000"/>
          <w:sz w:val="20"/>
        </w:rPr>
        <w:t xml:space="preserve"> Financial Statements 2023</w:t>
      </w:r>
    </w:p>
    <w:p w:rsidR="00FE68DC" w:rsidRPr="00FB5BA9" w:rsidRDefault="00FB5BA9" w:rsidP="00F6036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On August 02, 2024, G.C Food Joint Stock Company announced Official Dispatch No. 2118/CV-GC on explaining the fluctuations in consolidated business results before and after auditing in 2023 as follows:</w:t>
      </w:r>
    </w:p>
    <w:p w:rsidR="00FE68DC" w:rsidRPr="00FB5BA9" w:rsidRDefault="00FB5BA9" w:rsidP="00F6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Name of the listed organization: G.C Food Joint Stock Company</w:t>
      </w:r>
    </w:p>
    <w:p w:rsidR="00FE68DC" w:rsidRPr="00FB5BA9" w:rsidRDefault="00FB5BA9" w:rsidP="00F6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Trading name: GCF</w:t>
      </w:r>
    </w:p>
    <w:p w:rsidR="00FE68DC" w:rsidRPr="00FB5BA9" w:rsidRDefault="00FB5BA9" w:rsidP="00F6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Securities code: GCF</w:t>
      </w:r>
    </w:p>
    <w:p w:rsidR="00FE68DC" w:rsidRPr="00FB5BA9" w:rsidRDefault="00FB5BA9" w:rsidP="00F6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Contents: G.C Food Joint Stock Company explains the fluctuations in financial figures in the Consolidated Financial Statements before and after auditing in 2023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0"/>
        <w:gridCol w:w="3024"/>
        <w:gridCol w:w="1522"/>
        <w:gridCol w:w="1522"/>
        <w:gridCol w:w="1573"/>
        <w:gridCol w:w="976"/>
      </w:tblGrid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In 2023, before auditing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In 2023, after auditing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Fluctuations in 2023 after/before auditing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Increase (decrease) rate 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(1)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(2)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(3)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(4)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(5)=(3)-(4)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(6)=(5)/(4)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474,380,676,561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474,680,847,093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300,170,532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Financial expenses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20,413,539,044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20,375,594,115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(37,944,929)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Total profit before tax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41,412,272,338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41,483,979,336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71,706,998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Current corporate income tax expense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12,787,155,360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11,083,438,656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(1,703,716,704)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-15%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Deferred corporate income tax expense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4,148,996,911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4,096,792,341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(52,204,570)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-1%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24,476,120,067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26,303,748,339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1,827,628,272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7%</w:t>
            </w:r>
          </w:p>
        </w:tc>
      </w:tr>
      <w:tr w:rsidR="00FE68DC" w:rsidRPr="00FB5BA9" w:rsidTr="00FB5BA9">
        <w:tc>
          <w:tcPr>
            <w:tcW w:w="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Profit after tax of the holding company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27,329,468,090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28,885,964,508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1,556,496,418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E68DC" w:rsidRPr="00FB5BA9" w:rsidRDefault="00FB5BA9" w:rsidP="00FB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BA9">
              <w:rPr>
                <w:rFonts w:ascii="Arial" w:hAnsi="Arial" w:cs="Arial"/>
                <w:color w:val="010000"/>
                <w:sz w:val="20"/>
              </w:rPr>
              <w:t>5%</w:t>
            </w:r>
          </w:p>
        </w:tc>
      </w:tr>
    </w:tbl>
    <w:p w:rsidR="00FE68DC" w:rsidRPr="00FB5BA9" w:rsidRDefault="00FB5BA9" w:rsidP="00F6036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Explanation:</w:t>
      </w:r>
    </w:p>
    <w:p w:rsidR="00FE68DC" w:rsidRPr="00FB5BA9" w:rsidRDefault="00FB5BA9" w:rsidP="00F60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Current corporate income tax expense: decreased by 1.7 billion due to the recalculation of non-deductible expenses and deductible expenses when calculating the current corporate income tax expense.</w:t>
      </w:r>
    </w:p>
    <w:p w:rsidR="00FE68DC" w:rsidRPr="00FB5BA9" w:rsidRDefault="00FB5BA9" w:rsidP="00F60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Profit after tax: increased</w:t>
      </w:r>
      <w:bookmarkStart w:id="0" w:name="_GoBack"/>
      <w:bookmarkEnd w:id="0"/>
      <w:r w:rsidRPr="00FB5BA9">
        <w:rPr>
          <w:rFonts w:ascii="Arial" w:hAnsi="Arial" w:cs="Arial"/>
          <w:color w:val="010000"/>
          <w:sz w:val="20"/>
        </w:rPr>
        <w:t xml:space="preserve"> by 1.8 billion, equivalent to 7%.</w:t>
      </w:r>
    </w:p>
    <w:p w:rsidR="00FE68DC" w:rsidRPr="00FB5BA9" w:rsidRDefault="00FB5BA9" w:rsidP="00F60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BA9">
        <w:rPr>
          <w:rFonts w:ascii="Arial" w:hAnsi="Arial" w:cs="Arial"/>
          <w:color w:val="010000"/>
          <w:sz w:val="20"/>
        </w:rPr>
        <w:t>Profit after tax of the holding company: increased by 1.5 billion, equivalent to 5%.</w:t>
      </w:r>
    </w:p>
    <w:sectPr w:rsidR="00FE68DC" w:rsidRPr="00FB5BA9" w:rsidSect="00FB5BA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11E"/>
    <w:multiLevelType w:val="multilevel"/>
    <w:tmpl w:val="043261F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B034FD"/>
    <w:multiLevelType w:val="multilevel"/>
    <w:tmpl w:val="FF84F0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DC"/>
    <w:rsid w:val="00F60364"/>
    <w:rsid w:val="00FB5BA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AD3F0"/>
  <w15:docId w15:val="{DAF7BFAD-0C6F-469B-B07C-5E64211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pPr>
      <w:spacing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</w:pPr>
    <w:rPr>
      <w:rFonts w:ascii="Arial" w:eastAsia="Arial" w:hAnsi="Arial" w:cs="Arial"/>
      <w:sz w:val="40"/>
      <w:szCs w:val="40"/>
    </w:rPr>
  </w:style>
  <w:style w:type="paragraph" w:customStyle="1" w:styleId="Vnbnnidung20">
    <w:name w:val="Văn bản nội dung (2)"/>
    <w:basedOn w:val="Normal"/>
    <w:link w:val="Vnbnnidung2"/>
    <w:pPr>
      <w:spacing w:line="228" w:lineRule="auto"/>
    </w:pPr>
    <w:rPr>
      <w:rFonts w:ascii="Arial" w:eastAsia="Arial" w:hAnsi="Arial" w:cs="Arial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08fzXVGfpJnJKszuLwXDQPlEw==">CgMxLjA4AHIhMW1JUG5zbktINHNMMlllb09MYTVEck1DS192bnFURHFG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2024-08-06T02:13:00Z</dcterms:created>
  <dcterms:modified xsi:type="dcterms:W3CDTF">2024-08-06T02:13:00Z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21be96e8dae883b00e3d673b4a723ea1a9727360ee5324dd872a38c2d1fee7db</vt:lpwstr>
  </property>
</Properties>
</file>