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B3" w:rsidRPr="003D095D" w:rsidRDefault="003D095D" w:rsidP="00C921F5">
      <w:pPr>
        <w:pBdr>
          <w:top w:val="nil"/>
          <w:left w:val="nil"/>
          <w:bottom w:val="nil"/>
          <w:right w:val="nil"/>
          <w:between w:val="nil"/>
        </w:pBdr>
        <w:spacing w:after="120" w:line="360" w:lineRule="auto"/>
        <w:jc w:val="both"/>
        <w:rPr>
          <w:rFonts w:ascii="Arial" w:eastAsia="Arial" w:hAnsi="Arial" w:cs="Arial"/>
          <w:b/>
          <w:color w:val="010000"/>
          <w:sz w:val="20"/>
          <w:szCs w:val="20"/>
        </w:rPr>
      </w:pPr>
      <w:r w:rsidRPr="003D095D">
        <w:rPr>
          <w:rFonts w:ascii="Arial" w:hAnsi="Arial" w:cs="Arial"/>
          <w:b/>
          <w:color w:val="010000"/>
          <w:sz w:val="20"/>
        </w:rPr>
        <w:t>HPH: Extraordinary General Mandate 2024</w:t>
      </w:r>
    </w:p>
    <w:p w:rsidR="00B664B3" w:rsidRPr="003D095D" w:rsidRDefault="003D095D" w:rsidP="00C921F5">
      <w:pPr>
        <w:pBdr>
          <w:top w:val="nil"/>
          <w:left w:val="nil"/>
          <w:bottom w:val="nil"/>
          <w:right w:val="nil"/>
          <w:between w:val="nil"/>
        </w:pBdr>
        <w:spacing w:after="120" w:line="360" w:lineRule="auto"/>
        <w:jc w:val="both"/>
        <w:rPr>
          <w:rFonts w:ascii="Arial" w:eastAsia="Arial" w:hAnsi="Arial" w:cs="Arial"/>
          <w:color w:val="010000"/>
          <w:sz w:val="20"/>
          <w:szCs w:val="20"/>
        </w:rPr>
      </w:pPr>
      <w:r w:rsidRPr="003D095D">
        <w:rPr>
          <w:rFonts w:ascii="Arial" w:hAnsi="Arial" w:cs="Arial"/>
          <w:color w:val="010000"/>
          <w:sz w:val="20"/>
        </w:rPr>
        <w:t>On August 1, 2024, Hung Phat Ha Bac Chemical Joint Stock Company announced General Mandate No. 202/NQDHDCD - HPCO as follows:</w:t>
      </w:r>
    </w:p>
    <w:p w:rsidR="00B664B3" w:rsidRPr="003D095D" w:rsidRDefault="003D095D" w:rsidP="00C921F5">
      <w:pPr>
        <w:pBdr>
          <w:top w:val="nil"/>
          <w:left w:val="nil"/>
          <w:bottom w:val="nil"/>
          <w:right w:val="nil"/>
          <w:between w:val="nil"/>
        </w:pBdr>
        <w:spacing w:after="120" w:line="360" w:lineRule="auto"/>
        <w:jc w:val="both"/>
        <w:rPr>
          <w:rFonts w:ascii="Arial" w:eastAsia="Arial" w:hAnsi="Arial" w:cs="Arial"/>
          <w:color w:val="010000"/>
          <w:sz w:val="20"/>
          <w:szCs w:val="20"/>
        </w:rPr>
      </w:pPr>
      <w:r w:rsidRPr="003D095D">
        <w:rPr>
          <w:rFonts w:ascii="Arial" w:hAnsi="Arial" w:cs="Arial"/>
          <w:color w:val="010000"/>
          <w:sz w:val="20"/>
        </w:rPr>
        <w:t xml:space="preserve">‎‎Article 1. Approve not separately implementing the project "Launcher gas recovery line </w:t>
      </w:r>
      <w:r w:rsidR="00C921F5">
        <w:rPr>
          <w:rFonts w:ascii="Arial" w:hAnsi="Arial" w:cs="Arial"/>
          <w:color w:val="010000"/>
          <w:sz w:val="20"/>
        </w:rPr>
        <w:t>without producing pure CO2 for a</w:t>
      </w:r>
      <w:r w:rsidRPr="003D095D">
        <w:rPr>
          <w:rFonts w:ascii="Arial" w:hAnsi="Arial" w:cs="Arial"/>
          <w:color w:val="010000"/>
          <w:sz w:val="20"/>
        </w:rPr>
        <w:t xml:space="preserve"> capacity of 45,000 tons/year" but putting the investment part of "Launcher gas recovery line without producing pure CO</w:t>
      </w:r>
      <w:r w:rsidRPr="003D095D">
        <w:rPr>
          <w:rFonts w:ascii="Arial" w:hAnsi="Arial" w:cs="Arial"/>
          <w:color w:val="010000"/>
          <w:sz w:val="20"/>
          <w:vertAlign w:val="subscript"/>
        </w:rPr>
        <w:t>2</w:t>
      </w:r>
      <w:r w:rsidRPr="003D095D">
        <w:rPr>
          <w:rFonts w:ascii="Arial" w:hAnsi="Arial" w:cs="Arial"/>
          <w:color w:val="010000"/>
          <w:sz w:val="20"/>
        </w:rPr>
        <w:t>, capacity of 45,000 tons/year" into the project "Hydrogen Peroxide (H</w:t>
      </w:r>
      <w:r w:rsidRPr="003D095D">
        <w:rPr>
          <w:rFonts w:ascii="Arial" w:hAnsi="Arial" w:cs="Arial"/>
          <w:color w:val="010000"/>
          <w:sz w:val="20"/>
          <w:vertAlign w:val="subscript"/>
        </w:rPr>
        <w:t>2</w:t>
      </w:r>
      <w:r w:rsidRPr="003D095D">
        <w:rPr>
          <w:rFonts w:ascii="Arial" w:hAnsi="Arial" w:cs="Arial"/>
          <w:color w:val="010000"/>
          <w:sz w:val="20"/>
        </w:rPr>
        <w:t>O</w:t>
      </w:r>
      <w:r w:rsidRPr="003D095D">
        <w:rPr>
          <w:rFonts w:ascii="Arial" w:hAnsi="Arial" w:cs="Arial"/>
          <w:color w:val="010000"/>
          <w:sz w:val="20"/>
          <w:vertAlign w:val="subscript"/>
        </w:rPr>
        <w:t>2</w:t>
      </w:r>
      <w:r w:rsidRPr="003D095D">
        <w:rPr>
          <w:rFonts w:ascii="Arial" w:hAnsi="Arial" w:cs="Arial"/>
          <w:color w:val="010000"/>
          <w:sz w:val="20"/>
        </w:rPr>
        <w:t>) production line, capacity of 10,000 tons/year and Launcher gas recovery line without producing pure CO2, capacity of 45,000 tons/year".</w:t>
      </w:r>
    </w:p>
    <w:p w:rsidR="00B664B3" w:rsidRPr="003D095D" w:rsidRDefault="003D095D" w:rsidP="00C921F5">
      <w:pPr>
        <w:pBdr>
          <w:top w:val="nil"/>
          <w:left w:val="nil"/>
          <w:bottom w:val="nil"/>
          <w:right w:val="nil"/>
          <w:between w:val="nil"/>
        </w:pBdr>
        <w:spacing w:after="120" w:line="360" w:lineRule="auto"/>
        <w:jc w:val="both"/>
        <w:rPr>
          <w:rFonts w:ascii="Arial" w:eastAsia="Arial" w:hAnsi="Arial" w:cs="Arial"/>
          <w:color w:val="010000"/>
          <w:sz w:val="20"/>
          <w:szCs w:val="20"/>
        </w:rPr>
      </w:pPr>
      <w:r w:rsidRPr="003D095D">
        <w:rPr>
          <w:rFonts w:ascii="Arial" w:hAnsi="Arial" w:cs="Arial"/>
          <w:color w:val="010000"/>
          <w:sz w:val="20"/>
        </w:rPr>
        <w:t>Article 2: Approve the investment adjustment for the investment project "Hydrogen Peroxide (H</w:t>
      </w:r>
      <w:r w:rsidRPr="003D095D">
        <w:rPr>
          <w:rFonts w:ascii="Arial" w:hAnsi="Arial" w:cs="Arial"/>
          <w:color w:val="010000"/>
          <w:sz w:val="20"/>
          <w:vertAlign w:val="subscript"/>
        </w:rPr>
        <w:t>2</w:t>
      </w:r>
      <w:r w:rsidRPr="003D095D">
        <w:rPr>
          <w:rFonts w:ascii="Arial" w:hAnsi="Arial" w:cs="Arial"/>
          <w:color w:val="010000"/>
          <w:sz w:val="20"/>
        </w:rPr>
        <w:t>O</w:t>
      </w:r>
      <w:r w:rsidRPr="003D095D">
        <w:rPr>
          <w:rFonts w:ascii="Arial" w:hAnsi="Arial" w:cs="Arial"/>
          <w:color w:val="010000"/>
          <w:sz w:val="20"/>
          <w:vertAlign w:val="subscript"/>
        </w:rPr>
        <w:t>2</w:t>
      </w:r>
      <w:r w:rsidRPr="003D095D">
        <w:rPr>
          <w:rFonts w:ascii="Arial" w:hAnsi="Arial" w:cs="Arial"/>
          <w:color w:val="010000"/>
          <w:sz w:val="20"/>
        </w:rPr>
        <w:t xml:space="preserve">) production line, capacity 10,000 tons/year" as stipulated </w:t>
      </w:r>
      <w:r w:rsidR="006E55BB" w:rsidRPr="003D095D">
        <w:rPr>
          <w:rFonts w:ascii="Arial" w:hAnsi="Arial" w:cs="Arial"/>
          <w:color w:val="010000"/>
          <w:sz w:val="20"/>
        </w:rPr>
        <w:t>at</w:t>
      </w:r>
      <w:r w:rsidRPr="003D095D">
        <w:rPr>
          <w:rFonts w:ascii="Arial" w:hAnsi="Arial" w:cs="Arial"/>
          <w:color w:val="010000"/>
          <w:sz w:val="20"/>
        </w:rPr>
        <w:t xml:space="preserve"> Investment Certificate No. 20121000138 dated August 12, 2008, the first change certificate dated May 5, 2010 issued by the People's Committee of Bac Giang Province.</w:t>
      </w:r>
    </w:p>
    <w:p w:rsidR="00B664B3" w:rsidRPr="003D095D" w:rsidRDefault="003D095D" w:rsidP="00C921F5">
      <w:pPr>
        <w:pBdr>
          <w:top w:val="nil"/>
          <w:left w:val="nil"/>
          <w:bottom w:val="nil"/>
          <w:right w:val="nil"/>
          <w:between w:val="nil"/>
        </w:pBdr>
        <w:spacing w:after="120" w:line="360" w:lineRule="auto"/>
        <w:jc w:val="both"/>
        <w:rPr>
          <w:rFonts w:ascii="Arial" w:eastAsia="Arial" w:hAnsi="Arial" w:cs="Arial"/>
          <w:color w:val="010000"/>
          <w:sz w:val="20"/>
          <w:szCs w:val="20"/>
        </w:rPr>
      </w:pPr>
      <w:r w:rsidRPr="003D095D">
        <w:rPr>
          <w:rFonts w:ascii="Arial" w:hAnsi="Arial" w:cs="Arial"/>
          <w:color w:val="010000"/>
          <w:sz w:val="20"/>
        </w:rPr>
        <w:t xml:space="preserve">Article 3. Approve the adjustment of the offering purpose and </w:t>
      </w:r>
      <w:r w:rsidR="006E55BB" w:rsidRPr="003D095D">
        <w:rPr>
          <w:rFonts w:ascii="Arial" w:hAnsi="Arial" w:cs="Arial"/>
          <w:color w:val="010000"/>
          <w:sz w:val="20"/>
        </w:rPr>
        <w:t xml:space="preserve">the plan on </w:t>
      </w:r>
      <w:r w:rsidRPr="003D095D">
        <w:rPr>
          <w:rFonts w:ascii="Arial" w:hAnsi="Arial" w:cs="Arial"/>
          <w:color w:val="010000"/>
          <w:sz w:val="20"/>
        </w:rPr>
        <w:t xml:space="preserve">using capital under the Plan </w:t>
      </w:r>
      <w:r w:rsidR="006E55BB" w:rsidRPr="003D095D">
        <w:rPr>
          <w:rFonts w:ascii="Arial" w:hAnsi="Arial" w:cs="Arial"/>
          <w:color w:val="010000"/>
          <w:sz w:val="20"/>
        </w:rPr>
        <w:t>on</w:t>
      </w:r>
      <w:r w:rsidRPr="003D095D">
        <w:rPr>
          <w:rFonts w:ascii="Arial" w:hAnsi="Arial" w:cs="Arial"/>
          <w:color w:val="010000"/>
          <w:sz w:val="20"/>
        </w:rPr>
        <w:t xml:space="preserve"> public offering of additional shares to existing shareholders approved by the Annual General Meeting of Shareholders 2024 on June 24, 2024 according to Proposal No. 90/</w:t>
      </w:r>
      <w:proofErr w:type="spellStart"/>
      <w:r w:rsidRPr="003D095D">
        <w:rPr>
          <w:rFonts w:ascii="Arial" w:hAnsi="Arial" w:cs="Arial"/>
          <w:color w:val="010000"/>
          <w:sz w:val="20"/>
        </w:rPr>
        <w:t>TTr</w:t>
      </w:r>
      <w:proofErr w:type="spellEnd"/>
      <w:r w:rsidRPr="003D095D">
        <w:rPr>
          <w:rFonts w:ascii="Arial" w:hAnsi="Arial" w:cs="Arial"/>
          <w:color w:val="010000"/>
          <w:sz w:val="20"/>
        </w:rPr>
        <w:t xml:space="preserve">-HDQT dated April 2, 2024 on the Plan </w:t>
      </w:r>
      <w:r w:rsidR="006E55BB" w:rsidRPr="003D095D">
        <w:rPr>
          <w:rFonts w:ascii="Arial" w:hAnsi="Arial" w:cs="Arial"/>
          <w:color w:val="010000"/>
          <w:sz w:val="20"/>
        </w:rPr>
        <w:t>on</w:t>
      </w:r>
      <w:r w:rsidRPr="003D095D">
        <w:rPr>
          <w:rFonts w:ascii="Arial" w:hAnsi="Arial" w:cs="Arial"/>
          <w:color w:val="010000"/>
          <w:sz w:val="20"/>
        </w:rPr>
        <w:t xml:space="preserve"> public offering of additional shares to existing shareholders.</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I.</w:t>
      </w:r>
      <w:r w:rsidR="006E55BB" w:rsidRPr="003D095D">
        <w:rPr>
          <w:rFonts w:ascii="Arial" w:hAnsi="Arial" w:cs="Arial"/>
          <w:color w:val="010000"/>
          <w:sz w:val="20"/>
        </w:rPr>
        <w:t xml:space="preserve"> </w:t>
      </w:r>
      <w:r w:rsidRPr="003D095D">
        <w:rPr>
          <w:rFonts w:ascii="Arial" w:hAnsi="Arial" w:cs="Arial"/>
          <w:color w:val="010000"/>
          <w:sz w:val="20"/>
        </w:rPr>
        <w:t>R</w:t>
      </w:r>
      <w:r w:rsidR="006E55BB" w:rsidRPr="003D095D">
        <w:rPr>
          <w:rFonts w:ascii="Arial" w:hAnsi="Arial" w:cs="Arial"/>
          <w:color w:val="010000"/>
          <w:sz w:val="20"/>
        </w:rPr>
        <w:t>easons for adjustment:</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Hung Phat Ha Bac Chemical Joint Stock Company will not separately implement the project "Launcher tail gas recovery line without producing pure CO</w:t>
      </w:r>
      <w:r w:rsidRPr="003D095D">
        <w:rPr>
          <w:rFonts w:ascii="Arial" w:hAnsi="Arial" w:cs="Arial"/>
          <w:color w:val="010000"/>
          <w:sz w:val="20"/>
          <w:vertAlign w:val="subscript"/>
        </w:rPr>
        <w:t>2</w:t>
      </w:r>
      <w:r w:rsidR="00C921F5">
        <w:rPr>
          <w:rFonts w:ascii="Arial" w:hAnsi="Arial" w:cs="Arial"/>
          <w:color w:val="010000"/>
          <w:sz w:val="20"/>
        </w:rPr>
        <w:t xml:space="preserve"> for a</w:t>
      </w:r>
      <w:r w:rsidRPr="003D095D">
        <w:rPr>
          <w:rFonts w:ascii="Arial" w:hAnsi="Arial" w:cs="Arial"/>
          <w:color w:val="010000"/>
          <w:sz w:val="20"/>
        </w:rPr>
        <w:t xml:space="preserve"> capacity of 45,000 tons/year" approved by the Annual General Meeting of Shareholders 2024 on June 24, 2024, according to Proposal No. 89/</w:t>
      </w:r>
      <w:proofErr w:type="spellStart"/>
      <w:r w:rsidRPr="003D095D">
        <w:rPr>
          <w:rFonts w:ascii="Arial" w:hAnsi="Arial" w:cs="Arial"/>
          <w:color w:val="010000"/>
          <w:sz w:val="20"/>
        </w:rPr>
        <w:t>T</w:t>
      </w:r>
      <w:r w:rsidR="006E55BB" w:rsidRPr="003D095D">
        <w:rPr>
          <w:rFonts w:ascii="Arial" w:hAnsi="Arial" w:cs="Arial"/>
          <w:color w:val="010000"/>
          <w:sz w:val="20"/>
        </w:rPr>
        <w:t>.</w:t>
      </w:r>
      <w:r w:rsidRPr="003D095D">
        <w:rPr>
          <w:rFonts w:ascii="Arial" w:hAnsi="Arial" w:cs="Arial"/>
          <w:color w:val="010000"/>
          <w:sz w:val="20"/>
        </w:rPr>
        <w:t>Tr</w:t>
      </w:r>
      <w:proofErr w:type="spellEnd"/>
      <w:r w:rsidRPr="003D095D">
        <w:rPr>
          <w:rFonts w:ascii="Arial" w:hAnsi="Arial" w:cs="Arial"/>
          <w:color w:val="010000"/>
          <w:sz w:val="20"/>
        </w:rPr>
        <w:t>-HPCO dated April 2, 2024.</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At the same time, the Company will adjust the investment to add "Launcher tail gas recovery line without producing pure CO2, capacity of 45,000 tons/year" to the project that was granted Investment Certificate No. 20121000138 and adjust it to the Project "Hydrogen Peroxide (H</w:t>
      </w:r>
      <w:r w:rsidRPr="003D095D">
        <w:rPr>
          <w:rFonts w:ascii="Arial" w:hAnsi="Arial" w:cs="Arial"/>
          <w:color w:val="010000"/>
          <w:sz w:val="20"/>
          <w:vertAlign w:val="subscript"/>
        </w:rPr>
        <w:t>2</w:t>
      </w:r>
      <w:r w:rsidRPr="003D095D">
        <w:rPr>
          <w:rFonts w:ascii="Arial" w:hAnsi="Arial" w:cs="Arial"/>
          <w:color w:val="010000"/>
          <w:sz w:val="20"/>
        </w:rPr>
        <w:t>O</w:t>
      </w:r>
      <w:r w:rsidRPr="003D095D">
        <w:rPr>
          <w:rFonts w:ascii="Arial" w:hAnsi="Arial" w:cs="Arial"/>
          <w:color w:val="010000"/>
          <w:sz w:val="20"/>
          <w:vertAlign w:val="subscript"/>
        </w:rPr>
        <w:t>2</w:t>
      </w:r>
      <w:r w:rsidRPr="003D095D">
        <w:rPr>
          <w:rFonts w:ascii="Arial" w:hAnsi="Arial" w:cs="Arial"/>
          <w:color w:val="010000"/>
          <w:sz w:val="20"/>
        </w:rPr>
        <w:t>) production line, capacity of 10,000 tons/year and Launcher gas recovery line without producing pure CO</w:t>
      </w:r>
      <w:r w:rsidRPr="003D095D">
        <w:rPr>
          <w:rFonts w:ascii="Arial" w:hAnsi="Arial" w:cs="Arial"/>
          <w:color w:val="010000"/>
          <w:sz w:val="20"/>
          <w:vertAlign w:val="subscript"/>
        </w:rPr>
        <w:t>2</w:t>
      </w:r>
      <w:r w:rsidRPr="003D095D">
        <w:rPr>
          <w:rFonts w:ascii="Arial" w:hAnsi="Arial" w:cs="Arial"/>
          <w:color w:val="010000"/>
          <w:sz w:val="20"/>
        </w:rPr>
        <w:t>, capacity of 45,000 tons/year".</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II.</w:t>
      </w:r>
      <w:r w:rsidR="006E55BB" w:rsidRPr="003D095D">
        <w:rPr>
          <w:rFonts w:ascii="Arial" w:hAnsi="Arial" w:cs="Arial"/>
          <w:color w:val="010000"/>
          <w:sz w:val="20"/>
        </w:rPr>
        <w:t xml:space="preserve"> Adjustment contents</w:t>
      </w:r>
      <w:r w:rsidRPr="003D095D">
        <w:rPr>
          <w:rFonts w:ascii="Arial" w:hAnsi="Arial" w:cs="Arial"/>
          <w:color w:val="010000"/>
          <w:sz w:val="20"/>
        </w:rPr>
        <w:t>:</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1</w:t>
      </w:r>
      <w:r w:rsidR="00EF58BB" w:rsidRPr="003D095D">
        <w:rPr>
          <w:rFonts w:ascii="Arial" w:hAnsi="Arial" w:cs="Arial"/>
          <w:color w:val="010000"/>
          <w:sz w:val="20"/>
        </w:rPr>
        <w:t>.</w:t>
      </w:r>
      <w:r w:rsidR="006E55BB" w:rsidRPr="003D095D">
        <w:rPr>
          <w:rFonts w:ascii="Arial" w:hAnsi="Arial" w:cs="Arial"/>
          <w:color w:val="010000"/>
          <w:sz w:val="20"/>
        </w:rPr>
        <w:t xml:space="preserve"> </w:t>
      </w:r>
      <w:r w:rsidRPr="003D095D">
        <w:rPr>
          <w:rFonts w:ascii="Arial" w:hAnsi="Arial" w:cs="Arial"/>
          <w:color w:val="010000"/>
          <w:sz w:val="20"/>
        </w:rPr>
        <w:t>Purposes for offering shares</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1.1.</w:t>
      </w:r>
      <w:r w:rsidR="006E55BB" w:rsidRPr="003D095D">
        <w:rPr>
          <w:rFonts w:ascii="Arial" w:hAnsi="Arial" w:cs="Arial"/>
          <w:color w:val="010000"/>
          <w:sz w:val="20"/>
        </w:rPr>
        <w:t xml:space="preserve"> </w:t>
      </w:r>
      <w:r w:rsidRPr="003D095D">
        <w:rPr>
          <w:rFonts w:ascii="Arial" w:hAnsi="Arial" w:cs="Arial"/>
          <w:color w:val="010000"/>
          <w:sz w:val="20"/>
        </w:rPr>
        <w:t>Content</w:t>
      </w:r>
      <w:r w:rsidR="00EF58BB" w:rsidRPr="003D095D">
        <w:rPr>
          <w:rFonts w:ascii="Arial" w:hAnsi="Arial" w:cs="Arial"/>
          <w:color w:val="010000"/>
          <w:sz w:val="20"/>
        </w:rPr>
        <w:t>s</w:t>
      </w:r>
      <w:r w:rsidRPr="003D095D">
        <w:rPr>
          <w:rFonts w:ascii="Arial" w:hAnsi="Arial" w:cs="Arial"/>
          <w:color w:val="010000"/>
          <w:sz w:val="20"/>
        </w:rPr>
        <w:t xml:space="preserve"> before adjustment</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To ensure sustainable growth and continue to strengthen internal strength to create breakthrough factors to increase growth rate in the following years, the company offer</w:t>
      </w:r>
      <w:r w:rsidR="00EF58BB" w:rsidRPr="003D095D">
        <w:rPr>
          <w:rFonts w:ascii="Arial" w:hAnsi="Arial" w:cs="Arial"/>
          <w:color w:val="010000"/>
          <w:sz w:val="20"/>
        </w:rPr>
        <w:t>s</w:t>
      </w:r>
      <w:r w:rsidRPr="003D095D">
        <w:rPr>
          <w:rFonts w:ascii="Arial" w:hAnsi="Arial" w:cs="Arial"/>
          <w:color w:val="010000"/>
          <w:sz w:val="20"/>
        </w:rPr>
        <w:t xml:space="preserve"> shares to existing shareholders for:</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Supplement capital for the investment project "Launcher tail gas recovery line without producing pure CO</w:t>
      </w:r>
      <w:r w:rsidRPr="003D095D">
        <w:rPr>
          <w:rFonts w:ascii="Arial" w:hAnsi="Arial" w:cs="Arial"/>
          <w:color w:val="010000"/>
          <w:sz w:val="20"/>
          <w:vertAlign w:val="subscript"/>
        </w:rPr>
        <w:t>2</w:t>
      </w:r>
      <w:r w:rsidRPr="003D095D">
        <w:rPr>
          <w:rFonts w:ascii="Arial" w:hAnsi="Arial" w:cs="Arial"/>
          <w:color w:val="010000"/>
          <w:sz w:val="20"/>
        </w:rPr>
        <w:t>, capacity of 45,000 tons/year".</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1.2.</w:t>
      </w:r>
      <w:r w:rsidR="006E55BB" w:rsidRPr="003D095D">
        <w:rPr>
          <w:rFonts w:ascii="Arial" w:hAnsi="Arial" w:cs="Arial"/>
          <w:color w:val="010000"/>
          <w:sz w:val="20"/>
        </w:rPr>
        <w:t xml:space="preserve"> </w:t>
      </w:r>
      <w:r w:rsidR="00C921F5">
        <w:rPr>
          <w:rFonts w:ascii="Arial" w:hAnsi="Arial" w:cs="Arial"/>
          <w:color w:val="010000"/>
          <w:sz w:val="20"/>
        </w:rPr>
        <w:t>Adjustments</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lastRenderedPageBreak/>
        <w:t>To ensure sustainable growth and continue to strengthen internal strength to create breakthrough factors to increase growth rate in the following years, the company offe</w:t>
      </w:r>
      <w:r w:rsidR="00D760B2" w:rsidRPr="003D095D">
        <w:rPr>
          <w:rFonts w:ascii="Arial" w:hAnsi="Arial" w:cs="Arial"/>
          <w:color w:val="010000"/>
          <w:sz w:val="20"/>
        </w:rPr>
        <w:t>rs</w:t>
      </w:r>
      <w:r w:rsidRPr="003D095D">
        <w:rPr>
          <w:rFonts w:ascii="Arial" w:hAnsi="Arial" w:cs="Arial"/>
          <w:color w:val="010000"/>
          <w:sz w:val="20"/>
        </w:rPr>
        <w:t xml:space="preserve"> shares to existing shareholders for:</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Supplement capital for the investment project "Hydrogen Peroxide (H</w:t>
      </w:r>
      <w:r w:rsidRPr="003D095D">
        <w:rPr>
          <w:rFonts w:ascii="Arial" w:hAnsi="Arial" w:cs="Arial"/>
          <w:color w:val="010000"/>
          <w:sz w:val="20"/>
          <w:vertAlign w:val="subscript"/>
        </w:rPr>
        <w:t>2</w:t>
      </w:r>
      <w:r w:rsidRPr="003D095D">
        <w:rPr>
          <w:rFonts w:ascii="Arial" w:hAnsi="Arial" w:cs="Arial"/>
          <w:color w:val="010000"/>
          <w:sz w:val="20"/>
        </w:rPr>
        <w:t>O</w:t>
      </w:r>
      <w:r w:rsidRPr="003D095D">
        <w:rPr>
          <w:rFonts w:ascii="Arial" w:hAnsi="Arial" w:cs="Arial"/>
          <w:color w:val="010000"/>
          <w:sz w:val="20"/>
          <w:vertAlign w:val="subscript"/>
        </w:rPr>
        <w:t>2</w:t>
      </w:r>
      <w:r w:rsidRPr="003D095D">
        <w:rPr>
          <w:rFonts w:ascii="Arial" w:hAnsi="Arial" w:cs="Arial"/>
          <w:color w:val="010000"/>
          <w:sz w:val="20"/>
        </w:rPr>
        <w:t>) production line, capacity of 10,000 tons/year and Launcher tail gas recovery line without producing pure CO</w:t>
      </w:r>
      <w:r w:rsidRPr="003D095D">
        <w:rPr>
          <w:rFonts w:ascii="Arial" w:hAnsi="Arial" w:cs="Arial"/>
          <w:color w:val="010000"/>
          <w:sz w:val="20"/>
          <w:vertAlign w:val="subscript"/>
        </w:rPr>
        <w:t>2</w:t>
      </w:r>
      <w:r w:rsidRPr="003D095D">
        <w:rPr>
          <w:rFonts w:ascii="Arial" w:hAnsi="Arial" w:cs="Arial"/>
          <w:color w:val="010000"/>
          <w:sz w:val="20"/>
        </w:rPr>
        <w:t>, capacity of 45,000 tons/year".</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2..</w:t>
      </w:r>
      <w:r w:rsidR="006E55BB" w:rsidRPr="003D095D">
        <w:rPr>
          <w:rFonts w:ascii="Arial" w:hAnsi="Arial" w:cs="Arial"/>
          <w:color w:val="010000"/>
          <w:sz w:val="20"/>
        </w:rPr>
        <w:t xml:space="preserve"> </w:t>
      </w:r>
      <w:r w:rsidRPr="003D095D">
        <w:rPr>
          <w:rFonts w:ascii="Arial" w:hAnsi="Arial" w:cs="Arial"/>
          <w:color w:val="010000"/>
          <w:sz w:val="20"/>
        </w:rPr>
        <w:t>Plan on capital use</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2.1.</w:t>
      </w:r>
      <w:r w:rsidR="006E55BB" w:rsidRPr="003D095D">
        <w:rPr>
          <w:rFonts w:ascii="Arial" w:hAnsi="Arial" w:cs="Arial"/>
          <w:color w:val="010000"/>
          <w:sz w:val="20"/>
        </w:rPr>
        <w:t xml:space="preserve"> </w:t>
      </w:r>
      <w:r w:rsidRPr="003D095D">
        <w:rPr>
          <w:rFonts w:ascii="Arial" w:hAnsi="Arial" w:cs="Arial"/>
          <w:color w:val="010000"/>
          <w:sz w:val="20"/>
        </w:rPr>
        <w:t>Content</w:t>
      </w:r>
      <w:r w:rsidR="00D760B2" w:rsidRPr="003D095D">
        <w:rPr>
          <w:rFonts w:ascii="Arial" w:hAnsi="Arial" w:cs="Arial"/>
          <w:color w:val="010000"/>
          <w:sz w:val="20"/>
        </w:rPr>
        <w:t>s</w:t>
      </w:r>
      <w:r w:rsidRPr="003D095D">
        <w:rPr>
          <w:rFonts w:ascii="Arial" w:hAnsi="Arial" w:cs="Arial"/>
          <w:color w:val="010000"/>
          <w:sz w:val="20"/>
        </w:rPr>
        <w:t xml:space="preserve"> before adjustment</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The expected amount of proceeds from the public offering to existing shareholders is VND28,000,000,000 (calculated at the offering price), which will be allocated and used as follows:</w:t>
      </w:r>
    </w:p>
    <w:tbl>
      <w:tblPr>
        <w:tblStyle w:val="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775"/>
        <w:gridCol w:w="198"/>
        <w:gridCol w:w="3866"/>
        <w:gridCol w:w="2155"/>
        <w:gridCol w:w="2017"/>
      </w:tblGrid>
      <w:tr w:rsidR="00B664B3" w:rsidRPr="003D095D" w:rsidTr="003D095D">
        <w:tc>
          <w:tcPr>
            <w:tcW w:w="430"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 xml:space="preserve">No. </w:t>
            </w:r>
          </w:p>
        </w:tc>
        <w:tc>
          <w:tcPr>
            <w:tcW w:w="2255" w:type="pct"/>
            <w:gridSpan w:val="2"/>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Contents</w:t>
            </w:r>
          </w:p>
        </w:tc>
        <w:tc>
          <w:tcPr>
            <w:tcW w:w="1196"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Amount (VND)</w:t>
            </w:r>
          </w:p>
        </w:tc>
        <w:tc>
          <w:tcPr>
            <w:tcW w:w="1119"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Expected use time</w:t>
            </w:r>
          </w:p>
        </w:tc>
      </w:tr>
      <w:tr w:rsidR="00B664B3" w:rsidRPr="003D095D" w:rsidTr="003D095D">
        <w:tc>
          <w:tcPr>
            <w:tcW w:w="430"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1</w:t>
            </w:r>
          </w:p>
        </w:tc>
        <w:tc>
          <w:tcPr>
            <w:tcW w:w="2255" w:type="pct"/>
            <w:gridSpan w:val="2"/>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Supplement capital for the investment project "Launcher tail gas recovery line without producing pure CO</w:t>
            </w:r>
            <w:r w:rsidRPr="003D095D">
              <w:rPr>
                <w:rFonts w:ascii="Arial" w:hAnsi="Arial" w:cs="Arial"/>
                <w:color w:val="010000"/>
                <w:sz w:val="20"/>
                <w:vertAlign w:val="subscript"/>
              </w:rPr>
              <w:t>2</w:t>
            </w:r>
            <w:r w:rsidRPr="003D095D">
              <w:rPr>
                <w:rFonts w:ascii="Arial" w:hAnsi="Arial" w:cs="Arial"/>
                <w:color w:val="010000"/>
                <w:sz w:val="20"/>
              </w:rPr>
              <w:t>, the capacity of 45,000 tons/year”</w:t>
            </w:r>
          </w:p>
        </w:tc>
        <w:tc>
          <w:tcPr>
            <w:tcW w:w="1196"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28,000,000,000</w:t>
            </w:r>
          </w:p>
        </w:tc>
        <w:tc>
          <w:tcPr>
            <w:tcW w:w="1119"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Q4/2024 and Q1/2025</w:t>
            </w:r>
          </w:p>
        </w:tc>
      </w:tr>
      <w:tr w:rsidR="00B664B3" w:rsidRPr="003D095D" w:rsidTr="003D095D">
        <w:tc>
          <w:tcPr>
            <w:tcW w:w="540" w:type="pct"/>
            <w:gridSpan w:val="2"/>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 xml:space="preserve"> </w:t>
            </w:r>
          </w:p>
        </w:tc>
        <w:tc>
          <w:tcPr>
            <w:tcW w:w="2145"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Total</w:t>
            </w:r>
          </w:p>
        </w:tc>
        <w:tc>
          <w:tcPr>
            <w:tcW w:w="1196"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28,000,000,000</w:t>
            </w:r>
          </w:p>
        </w:tc>
        <w:tc>
          <w:tcPr>
            <w:tcW w:w="1119"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 xml:space="preserve"> </w:t>
            </w:r>
          </w:p>
        </w:tc>
      </w:tr>
    </w:tbl>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The General Meeting authorize</w:t>
      </w:r>
      <w:r w:rsidR="00D760B2" w:rsidRPr="003D095D">
        <w:rPr>
          <w:rFonts w:ascii="Arial" w:hAnsi="Arial" w:cs="Arial"/>
          <w:color w:val="010000"/>
          <w:sz w:val="20"/>
        </w:rPr>
        <w:t>d</w:t>
      </w:r>
      <w:r w:rsidRPr="003D095D">
        <w:rPr>
          <w:rFonts w:ascii="Arial" w:hAnsi="Arial" w:cs="Arial"/>
          <w:color w:val="010000"/>
          <w:sz w:val="20"/>
        </w:rPr>
        <w:t xml:space="preserve"> the Board of Directors to prepare a detailed </w:t>
      </w:r>
      <w:r w:rsidR="00D760B2" w:rsidRPr="003D095D">
        <w:rPr>
          <w:rFonts w:ascii="Arial" w:hAnsi="Arial" w:cs="Arial"/>
          <w:color w:val="010000"/>
          <w:sz w:val="20"/>
        </w:rPr>
        <w:t xml:space="preserve">plan on </w:t>
      </w:r>
      <w:r w:rsidRPr="003D095D">
        <w:rPr>
          <w:rFonts w:ascii="Arial" w:hAnsi="Arial" w:cs="Arial"/>
          <w:color w:val="010000"/>
          <w:sz w:val="20"/>
        </w:rPr>
        <w:t>capital use based on the actual status at the time of offering</w:t>
      </w:r>
      <w:r w:rsidR="00D760B2" w:rsidRPr="003D095D">
        <w:rPr>
          <w:rFonts w:ascii="Arial" w:hAnsi="Arial" w:cs="Arial"/>
          <w:color w:val="010000"/>
          <w:sz w:val="20"/>
        </w:rPr>
        <w:t xml:space="preserve"> shares</w:t>
      </w:r>
      <w:r w:rsidRPr="003D095D">
        <w:rPr>
          <w:rFonts w:ascii="Arial" w:hAnsi="Arial" w:cs="Arial"/>
          <w:color w:val="010000"/>
          <w:sz w:val="20"/>
        </w:rPr>
        <w:t>. In case it is necessary to adjust the</w:t>
      </w:r>
      <w:r w:rsidR="00D760B2" w:rsidRPr="003D095D">
        <w:rPr>
          <w:rFonts w:ascii="Arial" w:hAnsi="Arial" w:cs="Arial"/>
          <w:color w:val="010000"/>
          <w:sz w:val="20"/>
        </w:rPr>
        <w:t xml:space="preserve"> plan on</w:t>
      </w:r>
      <w:r w:rsidRPr="003D095D">
        <w:rPr>
          <w:rFonts w:ascii="Arial" w:hAnsi="Arial" w:cs="Arial"/>
          <w:color w:val="010000"/>
          <w:sz w:val="20"/>
        </w:rPr>
        <w:t xml:space="preserve"> capital use in accordance with the actual situation of the Company, the Board of Directors shall make adjustments and report to the nearest General Meeting </w:t>
      </w:r>
      <w:r w:rsidR="00C921F5">
        <w:rPr>
          <w:rFonts w:ascii="Arial" w:hAnsi="Arial" w:cs="Arial"/>
          <w:color w:val="010000"/>
          <w:sz w:val="20"/>
        </w:rPr>
        <w:t>under applicable laws</w:t>
      </w:r>
      <w:r w:rsidRPr="003D095D">
        <w:rPr>
          <w:rFonts w:ascii="Arial" w:hAnsi="Arial" w:cs="Arial"/>
          <w:color w:val="010000"/>
          <w:sz w:val="20"/>
        </w:rPr>
        <w:t>.</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Plan on offsetting the shortfall in capital expected to be mobilized from the offering: In case the shares are not fully distributed as expected and the mobilized proceeds is not enough as expected, the Board of Directors shall consider mobilizing bank loans or seek other additional funding sources to compensate to be suitable with the business activities of the Company.</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2.2</w:t>
      </w:r>
      <w:r w:rsidR="006E55BB" w:rsidRPr="003D095D">
        <w:rPr>
          <w:rFonts w:ascii="Arial" w:hAnsi="Arial" w:cs="Arial"/>
          <w:color w:val="010000"/>
          <w:sz w:val="20"/>
        </w:rPr>
        <w:t xml:space="preserve"> </w:t>
      </w:r>
      <w:r w:rsidRPr="003D095D">
        <w:rPr>
          <w:rFonts w:ascii="Arial" w:hAnsi="Arial" w:cs="Arial"/>
          <w:color w:val="010000"/>
          <w:sz w:val="20"/>
        </w:rPr>
        <w:t>Content</w:t>
      </w:r>
      <w:r w:rsidR="00D760B2" w:rsidRPr="003D095D">
        <w:rPr>
          <w:rFonts w:ascii="Arial" w:hAnsi="Arial" w:cs="Arial"/>
          <w:color w:val="010000"/>
          <w:sz w:val="20"/>
        </w:rPr>
        <w:t>s</w:t>
      </w:r>
      <w:r w:rsidRPr="003D095D">
        <w:rPr>
          <w:rFonts w:ascii="Arial" w:hAnsi="Arial" w:cs="Arial"/>
          <w:color w:val="010000"/>
          <w:sz w:val="20"/>
        </w:rPr>
        <w:t xml:space="preserve"> after adjustment</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The expected amount of proceeds from the public offering of shares to existing shareholders is VND28,000,000,000 (calculated at the offering price), which will be allocated and used as follows:</w:t>
      </w:r>
    </w:p>
    <w:tbl>
      <w:tblPr>
        <w:tblStyle w:val="a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661"/>
        <w:gridCol w:w="4259"/>
        <w:gridCol w:w="2307"/>
        <w:gridCol w:w="1784"/>
      </w:tblGrid>
      <w:tr w:rsidR="00B664B3" w:rsidRPr="003D095D" w:rsidTr="003D095D">
        <w:tc>
          <w:tcPr>
            <w:tcW w:w="367"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 xml:space="preserve">No. </w:t>
            </w:r>
          </w:p>
        </w:tc>
        <w:tc>
          <w:tcPr>
            <w:tcW w:w="2363"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Contents</w:t>
            </w:r>
          </w:p>
        </w:tc>
        <w:tc>
          <w:tcPr>
            <w:tcW w:w="1280"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Amount (VND)</w:t>
            </w:r>
          </w:p>
        </w:tc>
        <w:tc>
          <w:tcPr>
            <w:tcW w:w="990"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Expected use time</w:t>
            </w:r>
          </w:p>
        </w:tc>
      </w:tr>
      <w:tr w:rsidR="00B664B3" w:rsidRPr="003D095D" w:rsidTr="003D095D">
        <w:tc>
          <w:tcPr>
            <w:tcW w:w="367"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1</w:t>
            </w:r>
          </w:p>
        </w:tc>
        <w:tc>
          <w:tcPr>
            <w:tcW w:w="2363"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Supplement capital for the investment project "Hydrogen Peroxide (H2O2) production line, capacity of 10,000 tons/year and Launcher tail gas recovery line without producing pure CO2, capacity of 45,000 tons/year".</w:t>
            </w:r>
          </w:p>
        </w:tc>
        <w:tc>
          <w:tcPr>
            <w:tcW w:w="1280"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28,000,000,000</w:t>
            </w:r>
          </w:p>
        </w:tc>
        <w:tc>
          <w:tcPr>
            <w:tcW w:w="990"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Q4/2024 and Q1/2025</w:t>
            </w:r>
          </w:p>
        </w:tc>
      </w:tr>
      <w:tr w:rsidR="00B664B3" w:rsidRPr="003D095D" w:rsidTr="003D095D">
        <w:tc>
          <w:tcPr>
            <w:tcW w:w="367"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 xml:space="preserve"> </w:t>
            </w:r>
          </w:p>
        </w:tc>
        <w:tc>
          <w:tcPr>
            <w:tcW w:w="2363"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Total</w:t>
            </w:r>
          </w:p>
        </w:tc>
        <w:tc>
          <w:tcPr>
            <w:tcW w:w="1280"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28,000,000,000</w:t>
            </w:r>
          </w:p>
        </w:tc>
        <w:tc>
          <w:tcPr>
            <w:tcW w:w="990" w:type="pct"/>
            <w:shd w:val="clear" w:color="auto" w:fill="auto"/>
            <w:tcMar>
              <w:top w:w="0" w:type="dxa"/>
              <w:left w:w="20" w:type="dxa"/>
              <w:bottom w:w="0" w:type="dxa"/>
              <w:right w:w="20" w:type="dxa"/>
            </w:tcMar>
            <w:vAlign w:val="center"/>
          </w:tcPr>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 xml:space="preserve"> </w:t>
            </w:r>
          </w:p>
        </w:tc>
      </w:tr>
    </w:tbl>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 xml:space="preserve">The General Meeting </w:t>
      </w:r>
      <w:bookmarkStart w:id="0" w:name="_GoBack"/>
      <w:bookmarkEnd w:id="0"/>
      <w:r w:rsidRPr="003D095D">
        <w:rPr>
          <w:rFonts w:ascii="Arial" w:hAnsi="Arial" w:cs="Arial"/>
          <w:color w:val="010000"/>
          <w:sz w:val="20"/>
        </w:rPr>
        <w:t>authorize</w:t>
      </w:r>
      <w:r w:rsidR="00D760B2" w:rsidRPr="003D095D">
        <w:rPr>
          <w:rFonts w:ascii="Arial" w:hAnsi="Arial" w:cs="Arial"/>
          <w:color w:val="010000"/>
          <w:sz w:val="20"/>
        </w:rPr>
        <w:t>d</w:t>
      </w:r>
      <w:r w:rsidRPr="003D095D">
        <w:rPr>
          <w:rFonts w:ascii="Arial" w:hAnsi="Arial" w:cs="Arial"/>
          <w:color w:val="010000"/>
          <w:sz w:val="20"/>
        </w:rPr>
        <w:t xml:space="preserve"> the Board of Directors to prepare a detailed </w:t>
      </w:r>
      <w:r w:rsidR="00D760B2" w:rsidRPr="003D095D">
        <w:rPr>
          <w:rFonts w:ascii="Arial" w:hAnsi="Arial" w:cs="Arial"/>
          <w:color w:val="010000"/>
          <w:sz w:val="20"/>
        </w:rPr>
        <w:t xml:space="preserve">plan on </w:t>
      </w:r>
      <w:r w:rsidRPr="003D095D">
        <w:rPr>
          <w:rFonts w:ascii="Arial" w:hAnsi="Arial" w:cs="Arial"/>
          <w:color w:val="010000"/>
          <w:sz w:val="20"/>
        </w:rPr>
        <w:t xml:space="preserve">capital use based </w:t>
      </w:r>
      <w:r w:rsidRPr="003D095D">
        <w:rPr>
          <w:rFonts w:ascii="Arial" w:hAnsi="Arial" w:cs="Arial"/>
          <w:color w:val="010000"/>
          <w:sz w:val="20"/>
        </w:rPr>
        <w:lastRenderedPageBreak/>
        <w:t>on the actual status at the time of offering</w:t>
      </w:r>
      <w:r w:rsidR="00D760B2" w:rsidRPr="003D095D">
        <w:rPr>
          <w:rFonts w:ascii="Arial" w:hAnsi="Arial" w:cs="Arial"/>
          <w:color w:val="010000"/>
          <w:sz w:val="20"/>
        </w:rPr>
        <w:t xml:space="preserve"> shares</w:t>
      </w:r>
      <w:r w:rsidRPr="003D095D">
        <w:rPr>
          <w:rFonts w:ascii="Arial" w:hAnsi="Arial" w:cs="Arial"/>
          <w:color w:val="010000"/>
          <w:sz w:val="20"/>
        </w:rPr>
        <w:t>. In case it is necessary to adjust the</w:t>
      </w:r>
      <w:r w:rsidR="00D760B2" w:rsidRPr="003D095D">
        <w:rPr>
          <w:rFonts w:ascii="Arial" w:hAnsi="Arial" w:cs="Arial"/>
          <w:color w:val="010000"/>
          <w:sz w:val="20"/>
        </w:rPr>
        <w:t xml:space="preserve"> plan on</w:t>
      </w:r>
      <w:r w:rsidRPr="003D095D">
        <w:rPr>
          <w:rFonts w:ascii="Arial" w:hAnsi="Arial" w:cs="Arial"/>
          <w:color w:val="010000"/>
          <w:sz w:val="20"/>
        </w:rPr>
        <w:t xml:space="preserve"> capital use in accordance with the actual situation of the Company, the Board of Directors shall make adjustments and report to the nearest General Meeting in accordance with the provisions of current law.</w:t>
      </w:r>
    </w:p>
    <w:p w:rsidR="00B664B3" w:rsidRPr="003D095D" w:rsidRDefault="003D095D" w:rsidP="00C921F5">
      <w:pPr>
        <w:spacing w:after="120" w:line="360" w:lineRule="auto"/>
        <w:jc w:val="both"/>
        <w:rPr>
          <w:rFonts w:ascii="Arial" w:eastAsia="Arial" w:hAnsi="Arial" w:cs="Arial"/>
          <w:color w:val="010000"/>
          <w:sz w:val="20"/>
          <w:szCs w:val="20"/>
        </w:rPr>
      </w:pPr>
      <w:r w:rsidRPr="003D095D">
        <w:rPr>
          <w:rFonts w:ascii="Arial" w:hAnsi="Arial" w:cs="Arial"/>
          <w:color w:val="010000"/>
          <w:sz w:val="20"/>
        </w:rPr>
        <w:t>Plan on offsetting the shortfall in capital expected to be mobilized from the offering: In case the shares are not fully distributed as expected and the mobilized proceeds is not enough as expected, the Board of Directors shall consider mobilizing bank loans or seek other additional funding sources to compensate to be suitable with the business activities of the Company.</w:t>
      </w:r>
    </w:p>
    <w:p w:rsidR="00B664B3" w:rsidRPr="003D095D" w:rsidRDefault="003D095D" w:rsidP="00C921F5">
      <w:pPr>
        <w:pBdr>
          <w:top w:val="nil"/>
          <w:left w:val="nil"/>
          <w:bottom w:val="nil"/>
          <w:right w:val="nil"/>
          <w:between w:val="nil"/>
        </w:pBdr>
        <w:spacing w:after="120" w:line="360" w:lineRule="auto"/>
        <w:jc w:val="both"/>
        <w:rPr>
          <w:rFonts w:ascii="Arial" w:eastAsia="Arial" w:hAnsi="Arial" w:cs="Arial"/>
          <w:color w:val="010000"/>
          <w:sz w:val="20"/>
          <w:szCs w:val="20"/>
        </w:rPr>
      </w:pPr>
      <w:r w:rsidRPr="003D095D">
        <w:rPr>
          <w:rFonts w:ascii="Arial" w:hAnsi="Arial" w:cs="Arial"/>
          <w:color w:val="010000"/>
          <w:sz w:val="20"/>
        </w:rPr>
        <w:t xml:space="preserve">Article 4: Assign and authorize the Board of Directors to organize and carry out all necessary procedures and other work to successfully implement the above contents after being approved by the General Meeting </w:t>
      </w:r>
      <w:r w:rsidR="00C921F5">
        <w:rPr>
          <w:rFonts w:ascii="Arial" w:hAnsi="Arial" w:cs="Arial"/>
          <w:color w:val="010000"/>
          <w:sz w:val="20"/>
        </w:rPr>
        <w:t>under applicable laws</w:t>
      </w:r>
      <w:r w:rsidRPr="003D095D">
        <w:rPr>
          <w:rFonts w:ascii="Arial" w:hAnsi="Arial" w:cs="Arial"/>
          <w:color w:val="010000"/>
          <w:sz w:val="20"/>
        </w:rPr>
        <w:t xml:space="preserve"> and the Company's Charter.</w:t>
      </w:r>
    </w:p>
    <w:p w:rsidR="00B664B3" w:rsidRPr="003D095D" w:rsidRDefault="003D095D" w:rsidP="00C921F5">
      <w:pPr>
        <w:pBdr>
          <w:top w:val="nil"/>
          <w:left w:val="nil"/>
          <w:bottom w:val="nil"/>
          <w:right w:val="nil"/>
          <w:between w:val="nil"/>
        </w:pBdr>
        <w:spacing w:after="120" w:line="360" w:lineRule="auto"/>
        <w:jc w:val="both"/>
        <w:rPr>
          <w:rFonts w:ascii="Arial" w:eastAsia="Arial" w:hAnsi="Arial" w:cs="Arial"/>
          <w:color w:val="010000"/>
          <w:sz w:val="20"/>
          <w:szCs w:val="20"/>
        </w:rPr>
      </w:pPr>
      <w:r w:rsidRPr="003D095D">
        <w:rPr>
          <w:rFonts w:ascii="Arial" w:hAnsi="Arial" w:cs="Arial"/>
          <w:color w:val="010000"/>
          <w:sz w:val="20"/>
        </w:rPr>
        <w:t xml:space="preserve">Article 5: This General Mandate takes effect from the date of its signing. The Board of Directors, </w:t>
      </w:r>
      <w:r w:rsidR="00C921F5">
        <w:rPr>
          <w:rFonts w:ascii="Arial" w:hAnsi="Arial" w:cs="Arial"/>
          <w:color w:val="010000"/>
          <w:sz w:val="20"/>
        </w:rPr>
        <w:t>Supervisory Board, s</w:t>
      </w:r>
      <w:r w:rsidRPr="003D095D">
        <w:rPr>
          <w:rFonts w:ascii="Arial" w:hAnsi="Arial" w:cs="Arial"/>
          <w:color w:val="010000"/>
          <w:sz w:val="20"/>
        </w:rPr>
        <w:t>hareholders of the Company, relevant units and individuals are responsible for implementing this General Mandate./.</w:t>
      </w:r>
    </w:p>
    <w:sectPr w:rsidR="00B664B3" w:rsidRPr="003D095D" w:rsidSect="003D095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B3"/>
    <w:rsid w:val="003D095D"/>
    <w:rsid w:val="006E55BB"/>
    <w:rsid w:val="009E70B9"/>
    <w:rsid w:val="00B664B3"/>
    <w:rsid w:val="00C921F5"/>
    <w:rsid w:val="00D760B2"/>
    <w:rsid w:val="00EF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3CA36"/>
  <w15:docId w15:val="{0251B593-114E-4D80-80A1-53A55E41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57"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ind w:firstLine="36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4/V5vXuzBuS+2g+sPghqqaYhug==">CgMxLjA4AHIhMWp0Z01HNUtTaHFRcW9ya0FILXJWNVFfWVFqbzlKVUZw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2024-08-07T01:48:00Z</dcterms:created>
  <dcterms:modified xsi:type="dcterms:W3CDTF">2024-08-07T01:48:00Z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51770f880b200b6cad84bdbbff2e422acf948c931be4bee1f34651fe46d62650</vt:lpwstr>
  </property>
</Properties>
</file>