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r w:rsidRPr="003C0A93">
        <w:rPr>
          <w:rFonts w:ascii="Arial" w:hAnsi="Arial" w:cs="Arial"/>
          <w:b/>
          <w:color w:val="010000"/>
          <w:sz w:val="20"/>
        </w:rPr>
        <w:t>LHC: Board Resolution</w:t>
      </w:r>
    </w:p>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 xml:space="preserve">On August 5, 2024, </w:t>
      </w:r>
      <w:r w:rsidRPr="003C0A93">
        <w:rPr>
          <w:rFonts w:ascii="Arial" w:hAnsi="Arial" w:cs="Arial"/>
          <w:color w:val="010000"/>
          <w:sz w:val="20"/>
        </w:rPr>
        <w:t xml:space="preserve">Lam Dong investment </w:t>
      </w:r>
      <w:r w:rsidR="008D1E78" w:rsidRPr="003C0A93">
        <w:rPr>
          <w:rFonts w:ascii="Arial" w:hAnsi="Arial" w:cs="Arial"/>
          <w:color w:val="010000"/>
          <w:sz w:val="20"/>
        </w:rPr>
        <w:t>H</w:t>
      </w:r>
      <w:r w:rsidRPr="003C0A93">
        <w:rPr>
          <w:rFonts w:ascii="Arial" w:hAnsi="Arial" w:cs="Arial"/>
          <w:color w:val="010000"/>
          <w:sz w:val="20"/>
        </w:rPr>
        <w:t xml:space="preserve">ydraulic </w:t>
      </w:r>
      <w:r w:rsidR="008D1E78" w:rsidRPr="003C0A93">
        <w:rPr>
          <w:rFonts w:ascii="Arial" w:hAnsi="Arial" w:cs="Arial"/>
          <w:color w:val="010000"/>
          <w:sz w:val="20"/>
        </w:rPr>
        <w:t>C</w:t>
      </w:r>
      <w:r w:rsidRPr="003C0A93">
        <w:rPr>
          <w:rFonts w:ascii="Arial" w:hAnsi="Arial" w:cs="Arial"/>
          <w:color w:val="010000"/>
          <w:sz w:val="20"/>
        </w:rPr>
        <w:t>onstruction JSC</w:t>
      </w:r>
      <w:r w:rsidRPr="003C0A93">
        <w:rPr>
          <w:rFonts w:ascii="Arial" w:hAnsi="Arial" w:cs="Arial"/>
          <w:color w:val="010000"/>
          <w:sz w:val="20"/>
        </w:rPr>
        <w:t xml:space="preserve"> announced Resolution </w:t>
      </w:r>
      <w:r w:rsidR="008D1E78" w:rsidRPr="003C0A93">
        <w:rPr>
          <w:rFonts w:ascii="Arial" w:hAnsi="Arial" w:cs="Arial"/>
          <w:color w:val="010000"/>
          <w:sz w:val="20"/>
        </w:rPr>
        <w:t xml:space="preserve">No. </w:t>
      </w:r>
      <w:r w:rsidRPr="003C0A93">
        <w:rPr>
          <w:rFonts w:ascii="Arial" w:hAnsi="Arial" w:cs="Arial"/>
          <w:color w:val="010000"/>
          <w:sz w:val="20"/>
        </w:rPr>
        <w:t>07/2024/NQ-HDQT/LHC on the regular meeting of Q3/2024 as follows:</w:t>
      </w:r>
    </w:p>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 xml:space="preserve">Article 1: The Board of Directors approved the business results of Q2 and </w:t>
      </w:r>
      <w:r w:rsidRPr="003C0A93">
        <w:rPr>
          <w:rFonts w:ascii="Arial" w:hAnsi="Arial" w:cs="Arial"/>
          <w:color w:val="010000"/>
          <w:sz w:val="20"/>
        </w:rPr>
        <w:t>the first 6 months of 2024:</w:t>
      </w:r>
    </w:p>
    <w:p w:rsidR="00CE3A49" w:rsidRPr="003C0A93" w:rsidRDefault="003C0A93" w:rsidP="008D1E78">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3C0A93">
        <w:rPr>
          <w:rFonts w:ascii="Arial" w:hAnsi="Arial" w:cs="Arial"/>
          <w:color w:val="010000"/>
          <w:sz w:val="20"/>
        </w:rPr>
        <w:t xml:space="preserve">Results of the Holding Company: </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9"/>
        <w:gridCol w:w="2274"/>
        <w:gridCol w:w="2442"/>
        <w:gridCol w:w="1832"/>
      </w:tblGrid>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Targets</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Plan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Results</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Completed</w:t>
            </w:r>
          </w:p>
        </w:tc>
      </w:tr>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Net revenue</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VND200 billion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VND37</w:t>
            </w:r>
            <w:r w:rsidR="008D1E78" w:rsidRPr="003C0A93">
              <w:rPr>
                <w:rFonts w:ascii="Arial" w:hAnsi="Arial" w:cs="Arial"/>
                <w:color w:val="010000"/>
                <w:sz w:val="20"/>
              </w:rPr>
              <w:t>,</w:t>
            </w:r>
            <w:r w:rsidRPr="003C0A93">
              <w:rPr>
                <w:rFonts w:ascii="Arial" w:hAnsi="Arial" w:cs="Arial"/>
                <w:color w:val="010000"/>
                <w:sz w:val="20"/>
              </w:rPr>
              <w:t xml:space="preserve">832 billion. </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18.91%</w:t>
            </w:r>
          </w:p>
        </w:tc>
      </w:tr>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Profit before tax</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VND28.8 billion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VND22,619 billion</w:t>
            </w:r>
            <w:r w:rsidR="008D1E78" w:rsidRPr="003C0A93">
              <w:rPr>
                <w:rFonts w:ascii="Arial" w:hAnsi="Arial" w:cs="Arial"/>
                <w:color w:val="010000"/>
                <w:sz w:val="20"/>
              </w:rPr>
              <w:t xml:space="preserve"> </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78.54%</w:t>
            </w:r>
          </w:p>
        </w:tc>
      </w:tr>
    </w:tbl>
    <w:p w:rsidR="00CE3A49" w:rsidRPr="003C0A93" w:rsidRDefault="003C0A93" w:rsidP="008D1E78">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3C0A93">
        <w:rPr>
          <w:rFonts w:ascii="Arial" w:hAnsi="Arial" w:cs="Arial"/>
          <w:color w:val="010000"/>
          <w:sz w:val="20"/>
        </w:rPr>
        <w:t>Consolidated results: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9"/>
        <w:gridCol w:w="2274"/>
        <w:gridCol w:w="2442"/>
        <w:gridCol w:w="1832"/>
      </w:tblGrid>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Targets</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Plan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Results</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Completed</w:t>
            </w:r>
          </w:p>
        </w:tc>
      </w:tr>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Net revenue</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VND1,100 billion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VND532.01 billion</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48.36%</w:t>
            </w:r>
          </w:p>
        </w:tc>
      </w:tr>
      <w:tr w:rsidR="00CE3A49" w:rsidRPr="003C0A93" w:rsidTr="008D1E78">
        <w:tc>
          <w:tcPr>
            <w:tcW w:w="1369"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Profit before tax</w:t>
            </w:r>
          </w:p>
        </w:tc>
        <w:tc>
          <w:tcPr>
            <w:tcW w:w="1261"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VND103.5 billion.</w:t>
            </w:r>
          </w:p>
        </w:tc>
        <w:tc>
          <w:tcPr>
            <w:tcW w:w="1354"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VND66.37 billion</w:t>
            </w:r>
          </w:p>
        </w:tc>
        <w:tc>
          <w:tcPr>
            <w:tcW w:w="1016" w:type="pct"/>
            <w:shd w:val="clear" w:color="auto" w:fill="auto"/>
            <w:tcMar>
              <w:top w:w="0" w:type="dxa"/>
              <w:bottom w:w="0" w:type="dxa"/>
            </w:tcMar>
            <w:vAlign w:val="center"/>
          </w:tcPr>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64.12%</w:t>
            </w:r>
          </w:p>
        </w:tc>
      </w:tr>
    </w:tbl>
    <w:p w:rsidR="00CE3A49" w:rsidRPr="003C0A93" w:rsidRDefault="003C0A93" w:rsidP="008D1E78">
      <w:pPr>
        <w:pBdr>
          <w:top w:val="nil"/>
          <w:left w:val="nil"/>
          <w:bottom w:val="nil"/>
          <w:right w:val="nil"/>
          <w:between w:val="nil"/>
        </w:pBdr>
        <w:tabs>
          <w:tab w:val="left" w:pos="432"/>
          <w:tab w:val="left" w:pos="3570"/>
          <w:tab w:val="left" w:pos="5298"/>
        </w:tabs>
        <w:spacing w:after="120" w:line="360" w:lineRule="auto"/>
        <w:rPr>
          <w:rFonts w:ascii="Arial" w:eastAsia="Arial" w:hAnsi="Arial" w:cs="Arial"/>
          <w:color w:val="010000"/>
          <w:sz w:val="20"/>
          <w:szCs w:val="20"/>
        </w:rPr>
      </w:pPr>
      <w:r w:rsidRPr="003C0A93">
        <w:rPr>
          <w:rFonts w:ascii="Arial" w:hAnsi="Arial" w:cs="Arial"/>
          <w:color w:val="010000"/>
          <w:sz w:val="20"/>
        </w:rPr>
        <w:t xml:space="preserve">Article 2: The Board of Directors accepted the resignation of Mr. Ly Chu Hung, member of the Board of Directors for the term 2021 - 2025. The Board of Directors accepted the resignation and announced it as required. </w:t>
      </w:r>
    </w:p>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The Board of Directors submitted the re</w:t>
      </w:r>
      <w:r w:rsidRPr="003C0A93">
        <w:rPr>
          <w:rFonts w:ascii="Arial" w:hAnsi="Arial" w:cs="Arial"/>
          <w:color w:val="010000"/>
          <w:sz w:val="20"/>
        </w:rPr>
        <w:t>signation letter to the General Meeting of Shareholders according to Mr. Ly Chu Hung's wishes. The approval of dismissal and election of additional members will be carried out at the nearest General Meeting of Shareholders.</w:t>
      </w:r>
    </w:p>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Article 3: The Board of Director</w:t>
      </w:r>
      <w:r w:rsidRPr="003C0A93">
        <w:rPr>
          <w:rFonts w:ascii="Arial" w:hAnsi="Arial" w:cs="Arial"/>
          <w:color w:val="010000"/>
          <w:sz w:val="20"/>
        </w:rPr>
        <w:t xml:space="preserve">s approved the dividend prepayment </w:t>
      </w:r>
      <w:r w:rsidR="008D1E78" w:rsidRPr="003C0A93">
        <w:rPr>
          <w:rFonts w:ascii="Arial" w:hAnsi="Arial" w:cs="Arial"/>
          <w:color w:val="010000"/>
          <w:sz w:val="20"/>
        </w:rPr>
        <w:t xml:space="preserve">for the first round </w:t>
      </w:r>
      <w:r w:rsidRPr="003C0A93">
        <w:rPr>
          <w:rFonts w:ascii="Arial" w:hAnsi="Arial" w:cs="Arial"/>
          <w:color w:val="010000"/>
          <w:sz w:val="20"/>
        </w:rPr>
        <w:t>of 2024 as follows:</w:t>
      </w:r>
    </w:p>
    <w:p w:rsidR="00CE3A49" w:rsidRPr="003C0A93" w:rsidRDefault="003C0A93" w:rsidP="008D1E78">
      <w:pPr>
        <w:numPr>
          <w:ilvl w:val="0"/>
          <w:numId w:val="1"/>
        </w:numPr>
        <w:pBdr>
          <w:top w:val="nil"/>
          <w:left w:val="nil"/>
          <w:bottom w:val="nil"/>
          <w:right w:val="nil"/>
          <w:between w:val="nil"/>
        </w:pBdr>
        <w:tabs>
          <w:tab w:val="left" w:pos="432"/>
          <w:tab w:val="left" w:pos="1232"/>
        </w:tabs>
        <w:spacing w:after="120" w:line="360" w:lineRule="auto"/>
        <w:rPr>
          <w:rFonts w:ascii="Arial" w:eastAsia="Arial" w:hAnsi="Arial" w:cs="Arial"/>
          <w:color w:val="010000"/>
          <w:sz w:val="20"/>
          <w:szCs w:val="20"/>
        </w:rPr>
      </w:pPr>
      <w:r w:rsidRPr="003C0A93">
        <w:rPr>
          <w:rFonts w:ascii="Arial" w:hAnsi="Arial" w:cs="Arial"/>
          <w:color w:val="010000"/>
          <w:sz w:val="20"/>
        </w:rPr>
        <w:t>The rate of dividend prepayment in cash for the first round of 2024 is 15% (equivalent to VND</w:t>
      </w:r>
      <w:r w:rsidR="008D1E78" w:rsidRPr="003C0A93">
        <w:rPr>
          <w:rFonts w:ascii="Arial" w:hAnsi="Arial" w:cs="Arial"/>
          <w:color w:val="010000"/>
          <w:sz w:val="20"/>
        </w:rPr>
        <w:t>1,</w:t>
      </w:r>
      <w:r w:rsidRPr="003C0A93">
        <w:rPr>
          <w:rFonts w:ascii="Arial" w:hAnsi="Arial" w:cs="Arial"/>
          <w:color w:val="010000"/>
          <w:sz w:val="20"/>
        </w:rPr>
        <w:t>500/share).</w:t>
      </w:r>
    </w:p>
    <w:p w:rsidR="00CE3A49" w:rsidRPr="003C0A93" w:rsidRDefault="003C0A93" w:rsidP="008D1E78">
      <w:pPr>
        <w:numPr>
          <w:ilvl w:val="0"/>
          <w:numId w:val="1"/>
        </w:numPr>
        <w:pBdr>
          <w:top w:val="nil"/>
          <w:left w:val="nil"/>
          <w:bottom w:val="nil"/>
          <w:right w:val="nil"/>
          <w:between w:val="nil"/>
        </w:pBdr>
        <w:tabs>
          <w:tab w:val="left" w:pos="432"/>
          <w:tab w:val="left" w:pos="1242"/>
        </w:tabs>
        <w:spacing w:after="120" w:line="360" w:lineRule="auto"/>
        <w:rPr>
          <w:rFonts w:ascii="Arial" w:eastAsia="Arial" w:hAnsi="Arial" w:cs="Arial"/>
          <w:color w:val="010000"/>
          <w:sz w:val="20"/>
          <w:szCs w:val="20"/>
        </w:rPr>
      </w:pPr>
      <w:r w:rsidRPr="003C0A93">
        <w:rPr>
          <w:rFonts w:ascii="Arial" w:hAnsi="Arial" w:cs="Arial"/>
          <w:color w:val="010000"/>
          <w:sz w:val="20"/>
        </w:rPr>
        <w:t>Record date: August 29, 2024</w:t>
      </w:r>
    </w:p>
    <w:p w:rsidR="00CE3A49" w:rsidRPr="003C0A93" w:rsidRDefault="003C0A93" w:rsidP="008D1E78">
      <w:pPr>
        <w:numPr>
          <w:ilvl w:val="0"/>
          <w:numId w:val="1"/>
        </w:numPr>
        <w:pBdr>
          <w:top w:val="nil"/>
          <w:left w:val="nil"/>
          <w:bottom w:val="nil"/>
          <w:right w:val="nil"/>
          <w:between w:val="nil"/>
        </w:pBdr>
        <w:tabs>
          <w:tab w:val="left" w:pos="432"/>
          <w:tab w:val="left" w:pos="1242"/>
        </w:tabs>
        <w:spacing w:after="120" w:line="360" w:lineRule="auto"/>
        <w:rPr>
          <w:rFonts w:ascii="Arial" w:eastAsia="Arial" w:hAnsi="Arial" w:cs="Arial"/>
          <w:color w:val="010000"/>
          <w:sz w:val="20"/>
          <w:szCs w:val="20"/>
        </w:rPr>
      </w:pPr>
      <w:r w:rsidRPr="003C0A93">
        <w:rPr>
          <w:rFonts w:ascii="Arial" w:hAnsi="Arial" w:cs="Arial"/>
          <w:color w:val="010000"/>
          <w:sz w:val="20"/>
        </w:rPr>
        <w:t>Payment date: September 16, 2024</w:t>
      </w:r>
    </w:p>
    <w:p w:rsidR="00CE3A49" w:rsidRPr="003C0A93" w:rsidRDefault="003C0A93" w:rsidP="008D1E7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C0A93">
        <w:rPr>
          <w:rFonts w:ascii="Arial" w:hAnsi="Arial" w:cs="Arial"/>
          <w:color w:val="010000"/>
          <w:sz w:val="20"/>
        </w:rPr>
        <w:t xml:space="preserve">Article 4: </w:t>
      </w:r>
      <w:r w:rsidRPr="003C0A93">
        <w:rPr>
          <w:rFonts w:ascii="Arial" w:hAnsi="Arial" w:cs="Arial"/>
          <w:color w:val="010000"/>
          <w:sz w:val="20"/>
        </w:rPr>
        <w:t>Members of the Board of Directors, the Supervisory Board, the Board of Management and relevant individuals are responsible for implementing this Resolution.</w:t>
      </w:r>
      <w:bookmarkEnd w:id="0"/>
    </w:p>
    <w:sectPr w:rsidR="00CE3A49" w:rsidRPr="003C0A93" w:rsidSect="008D1E7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706"/>
    <w:multiLevelType w:val="multilevel"/>
    <w:tmpl w:val="A982564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0D6414"/>
    <w:multiLevelType w:val="multilevel"/>
    <w:tmpl w:val="3AB23B04"/>
    <w:lvl w:ilvl="0">
      <w:start w:val="1"/>
      <w:numFmt w:val="bullet"/>
      <w:lvlText w:val="-"/>
      <w:lvlJc w:val="left"/>
      <w:pPr>
        <w:ind w:left="0" w:firstLine="0"/>
      </w:pPr>
      <w:rPr>
        <w:rFonts w:ascii="Arial" w:eastAsia="Arial" w:hAnsi="Arial" w:cs="Arial"/>
        <w:b w:val="0"/>
        <w:i w:val="0"/>
        <w:smallCaps w:val="0"/>
        <w:strike w:val="0"/>
        <w:color w:val="324351"/>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49"/>
    <w:rsid w:val="00194E86"/>
    <w:rsid w:val="003C0A93"/>
    <w:rsid w:val="008D1E78"/>
    <w:rsid w:val="00CE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97077-F866-4728-B38D-85F25900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46689"/>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5"/>
      <w:szCs w:val="15"/>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E1E2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color w:val="1E1E2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E1E20"/>
      <w:sz w:val="26"/>
      <w:szCs w:val="26"/>
      <w:u w:val="none"/>
      <w:shd w:val="clear" w:color="auto" w:fill="auto"/>
    </w:rPr>
  </w:style>
  <w:style w:type="paragraph" w:customStyle="1" w:styleId="Vnbnnidung40">
    <w:name w:val="Văn bản nội dung (4)"/>
    <w:basedOn w:val="Normal"/>
    <w:link w:val="Vnbnnidung4"/>
    <w:pPr>
      <w:spacing w:line="266" w:lineRule="auto"/>
      <w:jc w:val="center"/>
    </w:pPr>
    <w:rPr>
      <w:rFonts w:ascii="Arial" w:eastAsia="Arial" w:hAnsi="Arial" w:cs="Arial"/>
      <w:color w:val="D46689"/>
      <w:sz w:val="17"/>
      <w:szCs w:val="17"/>
    </w:rPr>
  </w:style>
  <w:style w:type="paragraph" w:customStyle="1" w:styleId="Vnbnnidung30">
    <w:name w:val="Văn bản nội dung (3)"/>
    <w:basedOn w:val="Normal"/>
    <w:link w:val="Vnbnnidung3"/>
    <w:pPr>
      <w:ind w:firstLine="200"/>
    </w:pPr>
    <w:rPr>
      <w:rFonts w:ascii="Arial" w:eastAsia="Arial" w:hAnsi="Arial" w:cs="Arial"/>
      <w:sz w:val="15"/>
      <w:szCs w:val="15"/>
    </w:rPr>
  </w:style>
  <w:style w:type="paragraph" w:customStyle="1" w:styleId="Vnbnnidung50">
    <w:name w:val="Văn bản nội dung (5)"/>
    <w:basedOn w:val="Normal"/>
    <w:link w:val="Vnbnnidung5"/>
    <w:pPr>
      <w:spacing w:line="350" w:lineRule="auto"/>
      <w:ind w:firstLine="200"/>
    </w:pPr>
    <w:rPr>
      <w:rFonts w:ascii="Arial" w:eastAsia="Arial" w:hAnsi="Arial" w:cs="Arial"/>
      <w:smallCaps/>
    </w:rPr>
  </w:style>
  <w:style w:type="paragraph" w:customStyle="1" w:styleId="Vnbnnidung0">
    <w:name w:val="Văn bản nội dung"/>
    <w:basedOn w:val="Normal"/>
    <w:link w:val="Vnbnnidung"/>
    <w:pPr>
      <w:spacing w:line="271" w:lineRule="auto"/>
      <w:ind w:firstLine="60"/>
    </w:pPr>
    <w:rPr>
      <w:rFonts w:ascii="Times New Roman" w:eastAsia="Times New Roman" w:hAnsi="Times New Roman" w:cs="Times New Roman"/>
      <w:color w:val="1E1E20"/>
      <w:sz w:val="26"/>
      <w:szCs w:val="26"/>
    </w:rPr>
  </w:style>
  <w:style w:type="paragraph" w:customStyle="1" w:styleId="Vnbnnidung20">
    <w:name w:val="Văn bản nội dung (2)"/>
    <w:basedOn w:val="Normal"/>
    <w:link w:val="Vnbnnidung2"/>
    <w:pPr>
      <w:ind w:left="200" w:firstLine="130"/>
    </w:pPr>
    <w:rPr>
      <w:rFonts w:ascii="Times New Roman" w:eastAsia="Times New Roman" w:hAnsi="Times New Roman" w:cs="Times New Roman"/>
      <w:i/>
      <w:iCs/>
      <w:color w:val="1E1E20"/>
      <w:sz w:val="22"/>
      <w:szCs w:val="22"/>
    </w:rPr>
  </w:style>
  <w:style w:type="paragraph" w:customStyle="1" w:styleId="Khc0">
    <w:name w:val="Khác"/>
    <w:basedOn w:val="Normal"/>
    <w:link w:val="Khc"/>
    <w:pPr>
      <w:spacing w:line="271" w:lineRule="auto"/>
      <w:ind w:firstLine="60"/>
    </w:pPr>
    <w:rPr>
      <w:rFonts w:ascii="Times New Roman" w:eastAsia="Times New Roman" w:hAnsi="Times New Roman" w:cs="Times New Roman"/>
      <w:color w:val="1E1E20"/>
      <w:sz w:val="26"/>
      <w:szCs w:val="26"/>
    </w:rPr>
  </w:style>
  <w:style w:type="paragraph" w:styleId="ListParagraph">
    <w:name w:val="List Paragraph"/>
    <w:basedOn w:val="Normal"/>
    <w:uiPriority w:val="34"/>
    <w:qFormat/>
    <w:rsid w:val="003A662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AegsKRwEfDIxXUf3KRhWBxgqg==">CgMxLjA4AHIhMUI5Q1V0VExiOHRhd1lxenZPT2VfeW4zVXBRUFF6R3Fl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3</cp:revision>
  <dcterms:created xsi:type="dcterms:W3CDTF">2024-08-06T04:07:00Z</dcterms:created>
  <dcterms:modified xsi:type="dcterms:W3CDTF">2024-08-06T09:43:00Z</dcterms:modified>
</cp:coreProperties>
</file>