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1DC" w:rsidRPr="00C6653D" w:rsidRDefault="00092708" w:rsidP="00777C22">
      <w:pPr>
        <w:pBdr>
          <w:top w:val="nil"/>
          <w:left w:val="nil"/>
          <w:bottom w:val="nil"/>
          <w:right w:val="nil"/>
          <w:between w:val="nil"/>
        </w:pBdr>
        <w:tabs>
          <w:tab w:val="left" w:pos="432"/>
          <w:tab w:val="left" w:pos="5543"/>
          <w:tab w:val="left" w:pos="6134"/>
        </w:tabs>
        <w:spacing w:after="120" w:line="360" w:lineRule="auto"/>
        <w:jc w:val="both"/>
        <w:rPr>
          <w:rFonts w:ascii="Arial" w:eastAsia="Arial" w:hAnsi="Arial" w:cs="Arial"/>
          <w:b/>
          <w:color w:val="010000"/>
          <w:sz w:val="20"/>
          <w:szCs w:val="20"/>
        </w:rPr>
      </w:pPr>
      <w:bookmarkStart w:id="0" w:name="_GoBack"/>
      <w:r w:rsidRPr="00C6653D">
        <w:rPr>
          <w:rFonts w:ascii="Arial" w:hAnsi="Arial" w:cs="Arial"/>
          <w:b/>
          <w:bCs/>
          <w:color w:val="010000"/>
          <w:sz w:val="20"/>
        </w:rPr>
        <w:t>BID121027:</w:t>
      </w:r>
      <w:r w:rsidRPr="00C6653D">
        <w:rPr>
          <w:rFonts w:ascii="Arial" w:hAnsi="Arial" w:cs="Arial"/>
          <w:b/>
          <w:color w:val="010000"/>
          <w:sz w:val="20"/>
        </w:rPr>
        <w:t xml:space="preserve"> Board Resolution</w:t>
      </w:r>
    </w:p>
    <w:p w:rsidR="00D621DC" w:rsidRPr="00C6653D" w:rsidRDefault="00092708" w:rsidP="00777C22">
      <w:pPr>
        <w:pBdr>
          <w:top w:val="nil"/>
          <w:left w:val="nil"/>
          <w:bottom w:val="nil"/>
          <w:right w:val="nil"/>
          <w:between w:val="nil"/>
        </w:pBdr>
        <w:tabs>
          <w:tab w:val="left" w:pos="432"/>
          <w:tab w:val="left" w:pos="5543"/>
        </w:tabs>
        <w:spacing w:after="120" w:line="360" w:lineRule="auto"/>
        <w:jc w:val="both"/>
        <w:rPr>
          <w:rFonts w:ascii="Arial" w:eastAsia="Arial" w:hAnsi="Arial" w:cs="Arial"/>
          <w:color w:val="010000"/>
          <w:sz w:val="20"/>
          <w:szCs w:val="20"/>
        </w:rPr>
      </w:pPr>
      <w:r w:rsidRPr="00C6653D">
        <w:rPr>
          <w:rFonts w:ascii="Arial" w:hAnsi="Arial" w:cs="Arial"/>
          <w:color w:val="010000"/>
          <w:sz w:val="20"/>
        </w:rPr>
        <w:t xml:space="preserve">On August 06, 2024, Joint Stock Commercial Bank for Investment and Development of Vietnam announced Resolution </w:t>
      </w:r>
      <w:r w:rsidR="00C6653D" w:rsidRPr="00C6653D">
        <w:rPr>
          <w:rFonts w:ascii="Arial" w:hAnsi="Arial" w:cs="Arial"/>
          <w:color w:val="010000"/>
          <w:sz w:val="20"/>
        </w:rPr>
        <w:t xml:space="preserve">No. </w:t>
      </w:r>
      <w:r w:rsidRPr="00C6653D">
        <w:rPr>
          <w:rFonts w:ascii="Arial" w:hAnsi="Arial" w:cs="Arial"/>
          <w:color w:val="010000"/>
          <w:sz w:val="20"/>
        </w:rPr>
        <w:t xml:space="preserve">905/NQ-BIDV on approving the plan </w:t>
      </w:r>
      <w:r w:rsidR="00C6653D" w:rsidRPr="00C6653D">
        <w:rPr>
          <w:rFonts w:ascii="Arial" w:hAnsi="Arial" w:cs="Arial"/>
          <w:color w:val="010000"/>
          <w:sz w:val="20"/>
        </w:rPr>
        <w:t>on the bond issuance</w:t>
      </w:r>
      <w:r w:rsidRPr="00C6653D">
        <w:rPr>
          <w:rFonts w:ascii="Arial" w:hAnsi="Arial" w:cs="Arial"/>
          <w:color w:val="010000"/>
          <w:sz w:val="20"/>
        </w:rPr>
        <w:t xml:space="preserve"> to increase private equity for the 3</w:t>
      </w:r>
      <w:r w:rsidRPr="00C6653D">
        <w:rPr>
          <w:rFonts w:ascii="Arial" w:hAnsi="Arial" w:cs="Arial"/>
          <w:color w:val="010000"/>
          <w:sz w:val="20"/>
          <w:vertAlign w:val="superscript"/>
        </w:rPr>
        <w:t>rd</w:t>
      </w:r>
      <w:r w:rsidRPr="00C6653D">
        <w:rPr>
          <w:rFonts w:ascii="Arial" w:hAnsi="Arial" w:cs="Arial"/>
          <w:color w:val="010000"/>
          <w:sz w:val="20"/>
        </w:rPr>
        <w:t xml:space="preserve"> time in 2024 as follows:</w:t>
      </w:r>
    </w:p>
    <w:p w:rsidR="00D621DC" w:rsidRPr="00C6653D" w:rsidRDefault="00092708" w:rsidP="00777C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 xml:space="preserve">‎‎Article 1. Approve the plan on </w:t>
      </w:r>
      <w:r w:rsidR="00C6653D" w:rsidRPr="00C6653D">
        <w:rPr>
          <w:rFonts w:ascii="Arial" w:hAnsi="Arial" w:cs="Arial"/>
          <w:color w:val="010000"/>
          <w:sz w:val="20"/>
        </w:rPr>
        <w:t>bond issuance</w:t>
      </w:r>
      <w:r w:rsidRPr="00C6653D">
        <w:rPr>
          <w:rFonts w:ascii="Arial" w:hAnsi="Arial" w:cs="Arial"/>
          <w:color w:val="010000"/>
          <w:sz w:val="20"/>
        </w:rPr>
        <w:t xml:space="preserve"> to increase private equity for the 3</w:t>
      </w:r>
      <w:r w:rsidRPr="00C6653D">
        <w:rPr>
          <w:rFonts w:ascii="Arial" w:hAnsi="Arial" w:cs="Arial"/>
          <w:color w:val="010000"/>
          <w:sz w:val="20"/>
          <w:vertAlign w:val="superscript"/>
        </w:rPr>
        <w:t>rd</w:t>
      </w:r>
      <w:r w:rsidRPr="00C6653D">
        <w:rPr>
          <w:rFonts w:ascii="Arial" w:hAnsi="Arial" w:cs="Arial"/>
          <w:color w:val="010000"/>
          <w:sz w:val="20"/>
        </w:rPr>
        <w:t xml:space="preserve"> time in 2024 with the following main contents:</w:t>
      </w:r>
    </w:p>
    <w:p w:rsidR="00D621DC" w:rsidRPr="00C6653D" w:rsidRDefault="00092708" w:rsidP="00777C22">
      <w:pPr>
        <w:numPr>
          <w:ilvl w:val="0"/>
          <w:numId w:val="2"/>
        </w:numPr>
        <w:pBdr>
          <w:top w:val="nil"/>
          <w:left w:val="nil"/>
          <w:bottom w:val="nil"/>
          <w:right w:val="nil"/>
          <w:between w:val="nil"/>
        </w:pBdr>
        <w:tabs>
          <w:tab w:val="left" w:pos="432"/>
          <w:tab w:val="left" w:pos="1749"/>
        </w:tabs>
        <w:spacing w:after="120" w:line="360" w:lineRule="auto"/>
        <w:jc w:val="both"/>
        <w:rPr>
          <w:rFonts w:ascii="Arial" w:eastAsia="Arial" w:hAnsi="Arial" w:cs="Arial"/>
          <w:color w:val="010000"/>
          <w:sz w:val="20"/>
          <w:szCs w:val="20"/>
        </w:rPr>
      </w:pPr>
      <w:r w:rsidRPr="00C6653D">
        <w:rPr>
          <w:rFonts w:ascii="Arial" w:hAnsi="Arial" w:cs="Arial"/>
          <w:color w:val="010000"/>
          <w:sz w:val="20"/>
        </w:rPr>
        <w:t>Purposes of the issuance: To increase tier 2 capital.</w:t>
      </w:r>
    </w:p>
    <w:p w:rsidR="00D621DC" w:rsidRPr="00C6653D" w:rsidRDefault="00092708" w:rsidP="00777C22">
      <w:pPr>
        <w:numPr>
          <w:ilvl w:val="0"/>
          <w:numId w:val="2"/>
        </w:numPr>
        <w:pBdr>
          <w:top w:val="nil"/>
          <w:left w:val="nil"/>
          <w:bottom w:val="nil"/>
          <w:right w:val="nil"/>
          <w:between w:val="nil"/>
        </w:pBdr>
        <w:tabs>
          <w:tab w:val="left" w:pos="432"/>
          <w:tab w:val="left" w:pos="1759"/>
        </w:tabs>
        <w:spacing w:after="120" w:line="360" w:lineRule="auto"/>
        <w:jc w:val="both"/>
        <w:rPr>
          <w:rFonts w:ascii="Arial" w:eastAsia="Arial" w:hAnsi="Arial" w:cs="Arial"/>
          <w:color w:val="010000"/>
          <w:sz w:val="20"/>
          <w:szCs w:val="20"/>
        </w:rPr>
      </w:pPr>
      <w:r w:rsidRPr="00C6653D">
        <w:rPr>
          <w:rFonts w:ascii="Arial" w:hAnsi="Arial" w:cs="Arial"/>
          <w:color w:val="010000"/>
          <w:sz w:val="20"/>
        </w:rPr>
        <w:t>Total value of bonds issued at par value: Up to VND4,000 billion.</w:t>
      </w:r>
    </w:p>
    <w:p w:rsidR="00D621DC" w:rsidRPr="00C6653D" w:rsidRDefault="00092708" w:rsidP="00777C22">
      <w:pPr>
        <w:numPr>
          <w:ilvl w:val="0"/>
          <w:numId w:val="2"/>
        </w:numPr>
        <w:pBdr>
          <w:top w:val="nil"/>
          <w:left w:val="nil"/>
          <w:bottom w:val="nil"/>
          <w:right w:val="nil"/>
          <w:between w:val="nil"/>
        </w:pBdr>
        <w:tabs>
          <w:tab w:val="left" w:pos="432"/>
          <w:tab w:val="left" w:pos="1764"/>
        </w:tabs>
        <w:spacing w:after="120" w:line="360" w:lineRule="auto"/>
        <w:jc w:val="both"/>
        <w:rPr>
          <w:rFonts w:ascii="Arial" w:eastAsia="Arial" w:hAnsi="Arial" w:cs="Arial"/>
          <w:color w:val="010000"/>
          <w:sz w:val="20"/>
          <w:szCs w:val="20"/>
        </w:rPr>
      </w:pPr>
      <w:r w:rsidRPr="00C6653D">
        <w:rPr>
          <w:rFonts w:ascii="Arial" w:hAnsi="Arial" w:cs="Arial"/>
          <w:color w:val="010000"/>
          <w:sz w:val="20"/>
        </w:rPr>
        <w:t xml:space="preserve">Type of bonds: Non-convertible bonds, without warrants, no collaterals, direct debt repayment obligations, subordinated debt of </w:t>
      </w:r>
      <w:r w:rsidR="00526050" w:rsidRPr="00C6653D">
        <w:rPr>
          <w:rFonts w:ascii="Arial" w:hAnsi="Arial" w:cs="Arial"/>
          <w:color w:val="010000"/>
          <w:sz w:val="20"/>
        </w:rPr>
        <w:t>Joint Stock Commercial Bank for Investment and Development of Vietnam.</w:t>
      </w:r>
    </w:p>
    <w:p w:rsidR="00D621DC" w:rsidRPr="00C6653D" w:rsidRDefault="00092708" w:rsidP="00777C22">
      <w:pPr>
        <w:numPr>
          <w:ilvl w:val="0"/>
          <w:numId w:val="2"/>
        </w:numPr>
        <w:pBdr>
          <w:top w:val="nil"/>
          <w:left w:val="nil"/>
          <w:bottom w:val="nil"/>
          <w:right w:val="nil"/>
          <w:between w:val="nil"/>
        </w:pBdr>
        <w:tabs>
          <w:tab w:val="left" w:pos="432"/>
          <w:tab w:val="left" w:pos="1778"/>
        </w:tabs>
        <w:spacing w:after="120" w:line="360" w:lineRule="auto"/>
        <w:jc w:val="both"/>
        <w:rPr>
          <w:rFonts w:ascii="Arial" w:eastAsia="Arial" w:hAnsi="Arial" w:cs="Arial"/>
          <w:color w:val="010000"/>
          <w:sz w:val="20"/>
          <w:szCs w:val="20"/>
        </w:rPr>
      </w:pPr>
      <w:r w:rsidRPr="00C6653D">
        <w:rPr>
          <w:rFonts w:ascii="Arial" w:hAnsi="Arial" w:cs="Arial"/>
          <w:color w:val="010000"/>
          <w:sz w:val="20"/>
        </w:rPr>
        <w:t>Currency for issuance and payment: VND.</w:t>
      </w:r>
    </w:p>
    <w:p w:rsidR="00D621DC" w:rsidRPr="00C6653D" w:rsidRDefault="00092708" w:rsidP="00777C22">
      <w:pPr>
        <w:numPr>
          <w:ilvl w:val="0"/>
          <w:numId w:val="2"/>
        </w:numPr>
        <w:pBdr>
          <w:top w:val="nil"/>
          <w:left w:val="nil"/>
          <w:bottom w:val="nil"/>
          <w:right w:val="nil"/>
          <w:between w:val="nil"/>
        </w:pBdr>
        <w:tabs>
          <w:tab w:val="left" w:pos="432"/>
          <w:tab w:val="left" w:pos="1769"/>
        </w:tabs>
        <w:spacing w:after="120" w:line="360" w:lineRule="auto"/>
        <w:jc w:val="both"/>
        <w:rPr>
          <w:rFonts w:ascii="Arial" w:eastAsia="Arial" w:hAnsi="Arial" w:cs="Arial"/>
          <w:color w:val="010000"/>
          <w:sz w:val="20"/>
          <w:szCs w:val="20"/>
        </w:rPr>
      </w:pPr>
      <w:r w:rsidRPr="00C6653D">
        <w:rPr>
          <w:rFonts w:ascii="Arial" w:hAnsi="Arial" w:cs="Arial"/>
          <w:color w:val="010000"/>
          <w:sz w:val="20"/>
        </w:rPr>
        <w:t>Form of bonds: Bonds are issued under the form of accounting entry.</w:t>
      </w:r>
    </w:p>
    <w:p w:rsidR="00D621DC" w:rsidRPr="00C6653D" w:rsidRDefault="00092708" w:rsidP="00777C22">
      <w:pPr>
        <w:numPr>
          <w:ilvl w:val="0"/>
          <w:numId w:val="2"/>
        </w:numPr>
        <w:pBdr>
          <w:top w:val="nil"/>
          <w:left w:val="nil"/>
          <w:bottom w:val="nil"/>
          <w:right w:val="nil"/>
          <w:between w:val="nil"/>
        </w:pBdr>
        <w:tabs>
          <w:tab w:val="left" w:pos="432"/>
          <w:tab w:val="left" w:pos="1769"/>
        </w:tabs>
        <w:spacing w:after="120" w:line="360" w:lineRule="auto"/>
        <w:jc w:val="both"/>
        <w:rPr>
          <w:rFonts w:ascii="Arial" w:eastAsia="Arial" w:hAnsi="Arial" w:cs="Arial"/>
          <w:color w:val="010000"/>
          <w:sz w:val="20"/>
          <w:szCs w:val="20"/>
        </w:rPr>
      </w:pPr>
      <w:r w:rsidRPr="00C6653D">
        <w:rPr>
          <w:rFonts w:ascii="Arial" w:hAnsi="Arial" w:cs="Arial"/>
          <w:color w:val="010000"/>
          <w:sz w:val="20"/>
        </w:rPr>
        <w:t>Par value of bonds: VND100,000,000 or a multiple of VND100,000,000.</w:t>
      </w:r>
    </w:p>
    <w:p w:rsidR="00D621DC" w:rsidRPr="00C6653D" w:rsidRDefault="00092708" w:rsidP="00777C22">
      <w:pPr>
        <w:numPr>
          <w:ilvl w:val="0"/>
          <w:numId w:val="2"/>
        </w:numPr>
        <w:pBdr>
          <w:top w:val="nil"/>
          <w:left w:val="nil"/>
          <w:bottom w:val="nil"/>
          <w:right w:val="nil"/>
          <w:between w:val="nil"/>
        </w:pBdr>
        <w:tabs>
          <w:tab w:val="left" w:pos="432"/>
          <w:tab w:val="left" w:pos="1778"/>
        </w:tabs>
        <w:spacing w:after="120" w:line="360" w:lineRule="auto"/>
        <w:jc w:val="both"/>
        <w:rPr>
          <w:rFonts w:ascii="Arial" w:eastAsia="Arial" w:hAnsi="Arial" w:cs="Arial"/>
          <w:color w:val="010000"/>
          <w:sz w:val="20"/>
          <w:szCs w:val="20"/>
        </w:rPr>
      </w:pPr>
      <w:r w:rsidRPr="00C6653D">
        <w:rPr>
          <w:rFonts w:ascii="Arial" w:hAnsi="Arial" w:cs="Arial"/>
          <w:color w:val="010000"/>
          <w:sz w:val="20"/>
        </w:rPr>
        <w:t>Issue price: 100% of the par value.</w:t>
      </w:r>
    </w:p>
    <w:p w:rsidR="00D621DC" w:rsidRPr="00C6653D" w:rsidRDefault="00092708" w:rsidP="00777C22">
      <w:pPr>
        <w:numPr>
          <w:ilvl w:val="0"/>
          <w:numId w:val="2"/>
        </w:numPr>
        <w:pBdr>
          <w:top w:val="nil"/>
          <w:left w:val="nil"/>
          <w:bottom w:val="nil"/>
          <w:right w:val="nil"/>
          <w:between w:val="nil"/>
        </w:pBdr>
        <w:tabs>
          <w:tab w:val="left" w:pos="432"/>
          <w:tab w:val="left" w:pos="1778"/>
        </w:tabs>
        <w:spacing w:after="120" w:line="360" w:lineRule="auto"/>
        <w:jc w:val="both"/>
        <w:rPr>
          <w:rFonts w:ascii="Arial" w:eastAsia="Arial" w:hAnsi="Arial" w:cs="Arial"/>
          <w:color w:val="010000"/>
          <w:sz w:val="20"/>
          <w:szCs w:val="20"/>
        </w:rPr>
      </w:pPr>
      <w:r w:rsidRPr="00C6653D">
        <w:rPr>
          <w:rFonts w:ascii="Arial" w:hAnsi="Arial" w:cs="Arial"/>
          <w:color w:val="010000"/>
          <w:sz w:val="20"/>
        </w:rPr>
        <w:t>Bond terms: Over 5 years.</w:t>
      </w:r>
    </w:p>
    <w:p w:rsidR="00D621DC" w:rsidRPr="00C6653D" w:rsidRDefault="00092708" w:rsidP="00777C22">
      <w:pPr>
        <w:numPr>
          <w:ilvl w:val="0"/>
          <w:numId w:val="2"/>
        </w:numPr>
        <w:pBdr>
          <w:top w:val="nil"/>
          <w:left w:val="nil"/>
          <w:bottom w:val="nil"/>
          <w:right w:val="nil"/>
          <w:between w:val="nil"/>
        </w:pBdr>
        <w:tabs>
          <w:tab w:val="left" w:pos="432"/>
          <w:tab w:val="left" w:pos="1774"/>
        </w:tabs>
        <w:spacing w:after="120" w:line="360" w:lineRule="auto"/>
        <w:jc w:val="both"/>
        <w:rPr>
          <w:rFonts w:ascii="Arial" w:eastAsia="Arial" w:hAnsi="Arial" w:cs="Arial"/>
          <w:color w:val="010000"/>
          <w:sz w:val="20"/>
          <w:szCs w:val="20"/>
        </w:rPr>
      </w:pPr>
      <w:r w:rsidRPr="00C6653D">
        <w:rPr>
          <w:rFonts w:ascii="Arial" w:hAnsi="Arial" w:cs="Arial"/>
          <w:color w:val="010000"/>
          <w:sz w:val="20"/>
        </w:rPr>
        <w:t>Nominal interest rate of bonds: Joint Stock Commercial Bank for Investment and Development of Vietnam decide</w:t>
      </w:r>
      <w:r w:rsidR="00526050" w:rsidRPr="00C6653D">
        <w:rPr>
          <w:rFonts w:ascii="Arial" w:hAnsi="Arial" w:cs="Arial"/>
          <w:color w:val="010000"/>
          <w:sz w:val="20"/>
        </w:rPr>
        <w:t>d</w:t>
      </w:r>
      <w:r w:rsidRPr="00C6653D">
        <w:rPr>
          <w:rFonts w:ascii="Arial" w:hAnsi="Arial" w:cs="Arial"/>
          <w:color w:val="010000"/>
          <w:sz w:val="20"/>
        </w:rPr>
        <w:t xml:space="preserve"> in detail the interest rate for each issuance round based on the market situation, the acceptability/capital demands of the Bank at the time of issuance, </w:t>
      </w:r>
      <w:r w:rsidR="00C6653D" w:rsidRPr="00C6653D">
        <w:rPr>
          <w:rFonts w:ascii="Arial" w:hAnsi="Arial" w:cs="Arial"/>
          <w:color w:val="010000"/>
          <w:sz w:val="20"/>
        </w:rPr>
        <w:t>inconsistent</w:t>
      </w:r>
      <w:r w:rsidRPr="00C6653D">
        <w:rPr>
          <w:rFonts w:ascii="Arial" w:hAnsi="Arial" w:cs="Arial"/>
          <w:color w:val="010000"/>
          <w:sz w:val="20"/>
        </w:rPr>
        <w:t xml:space="preserve"> with the regulations on interest rate of the State Bank of Vietnam for each period (if any).</w:t>
      </w:r>
    </w:p>
    <w:p w:rsidR="00D621DC" w:rsidRPr="00C6653D" w:rsidRDefault="00526050" w:rsidP="00777C22">
      <w:pPr>
        <w:numPr>
          <w:ilvl w:val="0"/>
          <w:numId w:val="2"/>
        </w:numPr>
        <w:pBdr>
          <w:top w:val="nil"/>
          <w:left w:val="nil"/>
          <w:bottom w:val="nil"/>
          <w:right w:val="nil"/>
          <w:between w:val="nil"/>
        </w:pBdr>
        <w:tabs>
          <w:tab w:val="left" w:pos="432"/>
          <w:tab w:val="left" w:pos="1861"/>
        </w:tabs>
        <w:spacing w:after="120" w:line="360" w:lineRule="auto"/>
        <w:jc w:val="both"/>
        <w:rPr>
          <w:rFonts w:ascii="Arial" w:eastAsia="Arial" w:hAnsi="Arial" w:cs="Arial"/>
          <w:color w:val="010000"/>
          <w:sz w:val="20"/>
          <w:szCs w:val="20"/>
        </w:rPr>
      </w:pPr>
      <w:r w:rsidRPr="00C6653D">
        <w:rPr>
          <w:rFonts w:ascii="Arial" w:hAnsi="Arial" w:cs="Arial"/>
          <w:color w:val="010000"/>
          <w:sz w:val="20"/>
        </w:rPr>
        <w:t>Place of issue: At the Headquarters and/or all other branches of Joint Stock Commercial Bank for Investment and Development of Vietnam nationwide and/or through issuing agencies, underwriting for issuance depending on each issuance round.</w:t>
      </w:r>
    </w:p>
    <w:p w:rsidR="00D621DC" w:rsidRPr="00C6653D" w:rsidRDefault="00092708" w:rsidP="00777C22">
      <w:pPr>
        <w:numPr>
          <w:ilvl w:val="0"/>
          <w:numId w:val="2"/>
        </w:numPr>
        <w:pBdr>
          <w:top w:val="nil"/>
          <w:left w:val="nil"/>
          <w:bottom w:val="nil"/>
          <w:right w:val="nil"/>
          <w:between w:val="nil"/>
        </w:pBdr>
        <w:tabs>
          <w:tab w:val="left" w:pos="432"/>
          <w:tab w:val="left" w:pos="1861"/>
        </w:tabs>
        <w:spacing w:after="120" w:line="360" w:lineRule="auto"/>
        <w:jc w:val="both"/>
        <w:rPr>
          <w:rFonts w:ascii="Arial" w:eastAsia="Arial" w:hAnsi="Arial" w:cs="Arial"/>
          <w:color w:val="010000"/>
          <w:sz w:val="20"/>
          <w:szCs w:val="20"/>
        </w:rPr>
      </w:pPr>
      <w:r w:rsidRPr="00C6653D">
        <w:rPr>
          <w:rFonts w:ascii="Arial" w:hAnsi="Arial" w:cs="Arial"/>
          <w:color w:val="010000"/>
          <w:sz w:val="20"/>
        </w:rPr>
        <w:t>Number of issuance rounds: Up to 20 rounds, in which:</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36"/>
        <w:gridCol w:w="2731"/>
        <w:gridCol w:w="3552"/>
      </w:tblGrid>
      <w:tr w:rsidR="00D621DC" w:rsidRPr="00C6653D" w:rsidTr="00C6653D">
        <w:tc>
          <w:tcPr>
            <w:tcW w:w="1517" w:type="pct"/>
            <w:shd w:val="clear" w:color="auto" w:fill="auto"/>
            <w:tcMar>
              <w:top w:w="0" w:type="dxa"/>
              <w:bottom w:w="0" w:type="dxa"/>
            </w:tcMar>
            <w:vAlign w:val="center"/>
          </w:tcPr>
          <w:p w:rsidR="00D621DC" w:rsidRPr="00C6653D" w:rsidRDefault="00092708" w:rsidP="00777C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Offering time</w:t>
            </w:r>
          </w:p>
        </w:tc>
        <w:tc>
          <w:tcPr>
            <w:tcW w:w="1514" w:type="pct"/>
            <w:shd w:val="clear" w:color="auto" w:fill="auto"/>
            <w:tcMar>
              <w:top w:w="0" w:type="dxa"/>
              <w:bottom w:w="0" w:type="dxa"/>
            </w:tcMar>
            <w:vAlign w:val="center"/>
          </w:tcPr>
          <w:p w:rsidR="00D621DC" w:rsidRPr="00C6653D" w:rsidRDefault="00092708" w:rsidP="00777C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Number of offering rounds</w:t>
            </w:r>
          </w:p>
        </w:tc>
        <w:tc>
          <w:tcPr>
            <w:tcW w:w="1969" w:type="pct"/>
            <w:shd w:val="clear" w:color="auto" w:fill="auto"/>
            <w:tcMar>
              <w:top w:w="0" w:type="dxa"/>
              <w:bottom w:w="0" w:type="dxa"/>
            </w:tcMar>
            <w:vAlign w:val="center"/>
          </w:tcPr>
          <w:p w:rsidR="00D621DC" w:rsidRPr="00C6653D" w:rsidRDefault="00092708" w:rsidP="00777C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Ask size for each round</w:t>
            </w:r>
          </w:p>
        </w:tc>
      </w:tr>
      <w:tr w:rsidR="00D621DC" w:rsidRPr="00C6653D" w:rsidTr="00C6653D">
        <w:tc>
          <w:tcPr>
            <w:tcW w:w="1517" w:type="pct"/>
            <w:shd w:val="clear" w:color="auto" w:fill="auto"/>
            <w:tcMar>
              <w:top w:w="0" w:type="dxa"/>
              <w:bottom w:w="0" w:type="dxa"/>
            </w:tcMar>
            <w:vAlign w:val="center"/>
          </w:tcPr>
          <w:p w:rsidR="00D621DC" w:rsidRPr="00C6653D" w:rsidRDefault="00092708" w:rsidP="00777C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August - September 2024</w:t>
            </w:r>
          </w:p>
        </w:tc>
        <w:tc>
          <w:tcPr>
            <w:tcW w:w="1514" w:type="pct"/>
            <w:shd w:val="clear" w:color="auto" w:fill="auto"/>
            <w:tcMar>
              <w:top w:w="0" w:type="dxa"/>
              <w:bottom w:w="0" w:type="dxa"/>
            </w:tcMar>
            <w:vAlign w:val="center"/>
          </w:tcPr>
          <w:p w:rsidR="00D621DC" w:rsidRPr="00C6653D" w:rsidRDefault="00092708" w:rsidP="00777C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Up to 10 rounds</w:t>
            </w:r>
          </w:p>
        </w:tc>
        <w:tc>
          <w:tcPr>
            <w:tcW w:w="1969" w:type="pct"/>
            <w:shd w:val="clear" w:color="auto" w:fill="auto"/>
            <w:tcMar>
              <w:top w:w="0" w:type="dxa"/>
              <w:bottom w:w="0" w:type="dxa"/>
            </w:tcMar>
            <w:vAlign w:val="center"/>
          </w:tcPr>
          <w:p w:rsidR="00D621DC" w:rsidRPr="00C6653D" w:rsidRDefault="00092708" w:rsidP="00777C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At least VND50 billion</w:t>
            </w:r>
          </w:p>
        </w:tc>
      </w:tr>
      <w:tr w:rsidR="00D621DC" w:rsidRPr="00C6653D" w:rsidTr="00C6653D">
        <w:tc>
          <w:tcPr>
            <w:tcW w:w="1517" w:type="pct"/>
            <w:shd w:val="clear" w:color="auto" w:fill="auto"/>
            <w:tcMar>
              <w:top w:w="0" w:type="dxa"/>
              <w:bottom w:w="0" w:type="dxa"/>
            </w:tcMar>
            <w:vAlign w:val="center"/>
          </w:tcPr>
          <w:p w:rsidR="00D621DC" w:rsidRPr="00C6653D" w:rsidRDefault="00092708" w:rsidP="00777C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October - December 2024</w:t>
            </w:r>
          </w:p>
        </w:tc>
        <w:tc>
          <w:tcPr>
            <w:tcW w:w="1514" w:type="pct"/>
            <w:shd w:val="clear" w:color="auto" w:fill="auto"/>
            <w:tcMar>
              <w:top w:w="0" w:type="dxa"/>
              <w:bottom w:w="0" w:type="dxa"/>
            </w:tcMar>
            <w:vAlign w:val="center"/>
          </w:tcPr>
          <w:p w:rsidR="00D621DC" w:rsidRPr="00C6653D" w:rsidRDefault="00092708" w:rsidP="00777C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Up to 10 rounds</w:t>
            </w:r>
          </w:p>
        </w:tc>
        <w:tc>
          <w:tcPr>
            <w:tcW w:w="1969" w:type="pct"/>
            <w:shd w:val="clear" w:color="auto" w:fill="auto"/>
            <w:tcMar>
              <w:top w:w="0" w:type="dxa"/>
              <w:bottom w:w="0" w:type="dxa"/>
            </w:tcMar>
            <w:vAlign w:val="center"/>
          </w:tcPr>
          <w:p w:rsidR="00D621DC" w:rsidRPr="00C6653D" w:rsidRDefault="00092708" w:rsidP="00777C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At least VND50 billion</w:t>
            </w:r>
          </w:p>
        </w:tc>
      </w:tr>
      <w:tr w:rsidR="00D621DC" w:rsidRPr="00C6653D" w:rsidTr="00C6653D">
        <w:tc>
          <w:tcPr>
            <w:tcW w:w="1517" w:type="pct"/>
            <w:shd w:val="clear" w:color="auto" w:fill="auto"/>
            <w:tcMar>
              <w:top w:w="0" w:type="dxa"/>
              <w:bottom w:w="0" w:type="dxa"/>
            </w:tcMar>
            <w:vAlign w:val="center"/>
          </w:tcPr>
          <w:p w:rsidR="00D621DC" w:rsidRPr="00C6653D" w:rsidRDefault="00092708" w:rsidP="00777C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Total</w:t>
            </w:r>
          </w:p>
        </w:tc>
        <w:tc>
          <w:tcPr>
            <w:tcW w:w="1514" w:type="pct"/>
            <w:shd w:val="clear" w:color="auto" w:fill="auto"/>
            <w:tcMar>
              <w:top w:w="0" w:type="dxa"/>
              <w:bottom w:w="0" w:type="dxa"/>
            </w:tcMar>
            <w:vAlign w:val="center"/>
          </w:tcPr>
          <w:p w:rsidR="00D621DC" w:rsidRPr="00C6653D" w:rsidRDefault="00092708" w:rsidP="00777C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Up to 20 rounds</w:t>
            </w:r>
          </w:p>
        </w:tc>
        <w:tc>
          <w:tcPr>
            <w:tcW w:w="1969" w:type="pct"/>
            <w:shd w:val="clear" w:color="auto" w:fill="auto"/>
            <w:tcMar>
              <w:top w:w="0" w:type="dxa"/>
              <w:bottom w:w="0" w:type="dxa"/>
            </w:tcMar>
            <w:vAlign w:val="center"/>
          </w:tcPr>
          <w:p w:rsidR="00D621DC" w:rsidRPr="00C6653D" w:rsidRDefault="00092708" w:rsidP="00777C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Maximum VND4,000 billion</w:t>
            </w:r>
          </w:p>
        </w:tc>
      </w:tr>
    </w:tbl>
    <w:p w:rsidR="00D621DC" w:rsidRPr="00C6653D" w:rsidRDefault="00092708" w:rsidP="00777C22">
      <w:pPr>
        <w:numPr>
          <w:ilvl w:val="0"/>
          <w:numId w:val="3"/>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Time to distribute bonds of each issuance round: Maximum 30 days, from the date of information disclosure before the offering.</w:t>
      </w:r>
    </w:p>
    <w:p w:rsidR="00D621DC" w:rsidRPr="00C6653D" w:rsidRDefault="00092708" w:rsidP="00777C22">
      <w:pPr>
        <w:numPr>
          <w:ilvl w:val="0"/>
          <w:numId w:val="3"/>
        </w:numPr>
        <w:pBdr>
          <w:top w:val="nil"/>
          <w:left w:val="nil"/>
          <w:bottom w:val="nil"/>
          <w:right w:val="nil"/>
          <w:between w:val="nil"/>
        </w:pBdr>
        <w:tabs>
          <w:tab w:val="left" w:pos="432"/>
          <w:tab w:val="left" w:pos="1827"/>
        </w:tabs>
        <w:spacing w:after="120" w:line="360" w:lineRule="auto"/>
        <w:jc w:val="both"/>
        <w:rPr>
          <w:rFonts w:ascii="Arial" w:eastAsia="Arial" w:hAnsi="Arial" w:cs="Arial"/>
          <w:color w:val="010000"/>
          <w:sz w:val="20"/>
          <w:szCs w:val="20"/>
        </w:rPr>
      </w:pPr>
      <w:r w:rsidRPr="00C6653D">
        <w:rPr>
          <w:rFonts w:ascii="Arial" w:hAnsi="Arial" w:cs="Arial"/>
          <w:color w:val="010000"/>
          <w:sz w:val="20"/>
        </w:rPr>
        <w:t>Expected time of the issuance: From August to the end of December 2024.</w:t>
      </w:r>
    </w:p>
    <w:p w:rsidR="00D621DC" w:rsidRPr="00C6653D" w:rsidRDefault="00092708" w:rsidP="00777C22">
      <w:pPr>
        <w:numPr>
          <w:ilvl w:val="0"/>
          <w:numId w:val="3"/>
        </w:numPr>
        <w:pBdr>
          <w:top w:val="nil"/>
          <w:left w:val="nil"/>
          <w:bottom w:val="nil"/>
          <w:right w:val="nil"/>
          <w:between w:val="nil"/>
        </w:pBdr>
        <w:tabs>
          <w:tab w:val="left" w:pos="432"/>
          <w:tab w:val="left" w:pos="1861"/>
        </w:tabs>
        <w:spacing w:after="120" w:line="360" w:lineRule="auto"/>
        <w:jc w:val="both"/>
        <w:rPr>
          <w:rFonts w:ascii="Arial" w:eastAsia="Arial" w:hAnsi="Arial" w:cs="Arial"/>
          <w:color w:val="010000"/>
          <w:sz w:val="20"/>
          <w:szCs w:val="20"/>
        </w:rPr>
      </w:pPr>
      <w:r w:rsidRPr="00C6653D">
        <w:rPr>
          <w:rFonts w:ascii="Arial" w:hAnsi="Arial" w:cs="Arial"/>
          <w:color w:val="010000"/>
          <w:sz w:val="20"/>
        </w:rPr>
        <w:t>Payment method for the principal and interest of bonds:</w:t>
      </w:r>
    </w:p>
    <w:p w:rsidR="00D621DC" w:rsidRPr="00C6653D" w:rsidRDefault="00092708" w:rsidP="00777C22">
      <w:pPr>
        <w:numPr>
          <w:ilvl w:val="0"/>
          <w:numId w:val="1"/>
        </w:numPr>
        <w:pBdr>
          <w:top w:val="nil"/>
          <w:left w:val="nil"/>
          <w:bottom w:val="nil"/>
          <w:right w:val="nil"/>
          <w:between w:val="nil"/>
        </w:pBdr>
        <w:tabs>
          <w:tab w:val="left" w:pos="432"/>
          <w:tab w:val="left" w:pos="1616"/>
        </w:tabs>
        <w:spacing w:after="120" w:line="360" w:lineRule="auto"/>
        <w:jc w:val="both"/>
        <w:rPr>
          <w:rFonts w:ascii="Arial" w:eastAsia="Arial" w:hAnsi="Arial" w:cs="Arial"/>
          <w:color w:val="010000"/>
          <w:sz w:val="20"/>
          <w:szCs w:val="20"/>
        </w:rPr>
      </w:pPr>
      <w:r w:rsidRPr="00C6653D">
        <w:rPr>
          <w:rFonts w:ascii="Arial" w:hAnsi="Arial" w:cs="Arial"/>
          <w:color w:val="010000"/>
          <w:sz w:val="20"/>
        </w:rPr>
        <w:t xml:space="preserve">Bond interest is postpaid on an annual basis or depending on the specific regulations of Joint Stock </w:t>
      </w:r>
      <w:r w:rsidRPr="00C6653D">
        <w:rPr>
          <w:rFonts w:ascii="Arial" w:hAnsi="Arial" w:cs="Arial"/>
          <w:color w:val="010000"/>
          <w:sz w:val="20"/>
        </w:rPr>
        <w:lastRenderedPageBreak/>
        <w:t>Commercial Bank for Investment and Development of Vietnam for each issuance.</w:t>
      </w:r>
    </w:p>
    <w:p w:rsidR="00D621DC" w:rsidRPr="00C6653D" w:rsidRDefault="00092708" w:rsidP="00777C22">
      <w:pPr>
        <w:numPr>
          <w:ilvl w:val="0"/>
          <w:numId w:val="1"/>
        </w:numPr>
        <w:pBdr>
          <w:top w:val="nil"/>
          <w:left w:val="nil"/>
          <w:bottom w:val="nil"/>
          <w:right w:val="nil"/>
          <w:between w:val="nil"/>
        </w:pBdr>
        <w:tabs>
          <w:tab w:val="left" w:pos="432"/>
          <w:tab w:val="left" w:pos="1607"/>
        </w:tabs>
        <w:spacing w:after="120" w:line="360" w:lineRule="auto"/>
        <w:jc w:val="both"/>
        <w:rPr>
          <w:rFonts w:ascii="Arial" w:eastAsia="Arial" w:hAnsi="Arial" w:cs="Arial"/>
          <w:color w:val="010000"/>
          <w:sz w:val="20"/>
          <w:szCs w:val="20"/>
        </w:rPr>
      </w:pPr>
      <w:r w:rsidRPr="00C6653D">
        <w:rPr>
          <w:rFonts w:ascii="Arial" w:hAnsi="Arial" w:cs="Arial"/>
          <w:color w:val="010000"/>
          <w:sz w:val="20"/>
        </w:rPr>
        <w:t>Bond principal is paid once on the maturity date of each round unless the bonds are repurchased by Joint Stock Commercial Bank for Investment and Development of Vietnam before the maturity date or depending on the specific regulations of Joint Stock Commercial Bank for Investment and Development of Vietnam for each issuance.</w:t>
      </w:r>
    </w:p>
    <w:p w:rsidR="00D621DC" w:rsidRPr="00C6653D" w:rsidRDefault="00092708" w:rsidP="00777C22">
      <w:pPr>
        <w:numPr>
          <w:ilvl w:val="0"/>
          <w:numId w:val="1"/>
        </w:numPr>
        <w:pBdr>
          <w:top w:val="nil"/>
          <w:left w:val="nil"/>
          <w:bottom w:val="nil"/>
          <w:right w:val="nil"/>
          <w:between w:val="nil"/>
        </w:pBdr>
        <w:tabs>
          <w:tab w:val="left" w:pos="432"/>
          <w:tab w:val="left" w:pos="1616"/>
        </w:tabs>
        <w:spacing w:after="120" w:line="360" w:lineRule="auto"/>
        <w:jc w:val="both"/>
        <w:rPr>
          <w:rFonts w:ascii="Arial" w:eastAsia="Arial" w:hAnsi="Arial" w:cs="Arial"/>
          <w:color w:val="010000"/>
          <w:sz w:val="20"/>
          <w:szCs w:val="20"/>
        </w:rPr>
      </w:pPr>
      <w:r w:rsidRPr="00C6653D">
        <w:rPr>
          <w:rFonts w:ascii="Arial" w:hAnsi="Arial" w:cs="Arial"/>
          <w:color w:val="010000"/>
          <w:sz w:val="20"/>
        </w:rPr>
        <w:t>Bond principal and interest will be paid at the Headquarters and/or branches of Joint Stock Commercial Bank for Investment and Development of Vietnam nationwide and/or a third party depending on the specific regulations of Joint Stock Commercial Bank for Investment and Development of Vietnam for each issuance.</w:t>
      </w:r>
    </w:p>
    <w:p w:rsidR="00D621DC" w:rsidRPr="00C6653D" w:rsidRDefault="00092708" w:rsidP="00777C22">
      <w:pPr>
        <w:numPr>
          <w:ilvl w:val="0"/>
          <w:numId w:val="3"/>
        </w:numPr>
        <w:pBdr>
          <w:top w:val="nil"/>
          <w:left w:val="nil"/>
          <w:bottom w:val="nil"/>
          <w:right w:val="nil"/>
          <w:between w:val="nil"/>
        </w:pBdr>
        <w:tabs>
          <w:tab w:val="left" w:pos="432"/>
          <w:tab w:val="left" w:pos="1861"/>
        </w:tabs>
        <w:spacing w:after="120" w:line="360" w:lineRule="auto"/>
        <w:jc w:val="both"/>
        <w:rPr>
          <w:rFonts w:ascii="Arial" w:eastAsia="Arial" w:hAnsi="Arial" w:cs="Arial"/>
          <w:color w:val="010000"/>
          <w:sz w:val="20"/>
          <w:szCs w:val="20"/>
        </w:rPr>
      </w:pPr>
      <w:r w:rsidRPr="00C6653D">
        <w:rPr>
          <w:rFonts w:ascii="Arial" w:hAnsi="Arial" w:cs="Arial"/>
          <w:color w:val="010000"/>
          <w:sz w:val="20"/>
        </w:rPr>
        <w:t xml:space="preserve">Bonds are registered for trading </w:t>
      </w:r>
      <w:r w:rsidR="00C6653D" w:rsidRPr="00C6653D">
        <w:rPr>
          <w:rFonts w:ascii="Arial" w:hAnsi="Arial" w:cs="Arial"/>
          <w:color w:val="010000"/>
          <w:sz w:val="20"/>
        </w:rPr>
        <w:t>according to</w:t>
      </w:r>
      <w:r w:rsidRPr="00C6653D">
        <w:rPr>
          <w:rFonts w:ascii="Arial" w:hAnsi="Arial" w:cs="Arial"/>
          <w:color w:val="010000"/>
          <w:sz w:val="20"/>
        </w:rPr>
        <w:t xml:space="preserve"> Clause 13, Article 1 and Article 3 of Decree </w:t>
      </w:r>
      <w:r w:rsidR="00C6653D" w:rsidRPr="00C6653D">
        <w:rPr>
          <w:rFonts w:ascii="Arial" w:hAnsi="Arial" w:cs="Arial"/>
          <w:color w:val="010000"/>
          <w:sz w:val="20"/>
        </w:rPr>
        <w:t xml:space="preserve">No. </w:t>
      </w:r>
      <w:r w:rsidRPr="00C6653D">
        <w:rPr>
          <w:rFonts w:ascii="Arial" w:hAnsi="Arial" w:cs="Arial"/>
          <w:color w:val="010000"/>
          <w:sz w:val="20"/>
        </w:rPr>
        <w:t>65/2022/ND-CP and related guiding documents.</w:t>
      </w:r>
    </w:p>
    <w:p w:rsidR="00D621DC" w:rsidRPr="00C6653D" w:rsidRDefault="00092708" w:rsidP="00777C22">
      <w:pPr>
        <w:numPr>
          <w:ilvl w:val="0"/>
          <w:numId w:val="3"/>
        </w:numPr>
        <w:pBdr>
          <w:top w:val="nil"/>
          <w:left w:val="nil"/>
          <w:bottom w:val="nil"/>
          <w:right w:val="nil"/>
          <w:between w:val="nil"/>
        </w:pBdr>
        <w:tabs>
          <w:tab w:val="left" w:pos="432"/>
          <w:tab w:val="left" w:pos="1856"/>
        </w:tabs>
        <w:spacing w:after="120" w:line="360" w:lineRule="auto"/>
        <w:jc w:val="both"/>
        <w:rPr>
          <w:rFonts w:ascii="Arial" w:eastAsia="Arial" w:hAnsi="Arial" w:cs="Arial"/>
          <w:color w:val="010000"/>
          <w:sz w:val="20"/>
          <w:szCs w:val="20"/>
        </w:rPr>
      </w:pPr>
      <w:r w:rsidRPr="00C6653D">
        <w:rPr>
          <w:rFonts w:ascii="Arial" w:hAnsi="Arial" w:cs="Arial"/>
          <w:color w:val="010000"/>
          <w:sz w:val="20"/>
        </w:rPr>
        <w:t>Other conditions of bonds: Ensure that bonds are qualified to be recorded into tier 2 capital according to the regulations.</w:t>
      </w:r>
    </w:p>
    <w:p w:rsidR="00D621DC" w:rsidRPr="00C6653D" w:rsidRDefault="00092708" w:rsidP="00777C22">
      <w:pPr>
        <w:numPr>
          <w:ilvl w:val="0"/>
          <w:numId w:val="3"/>
        </w:numPr>
        <w:pBdr>
          <w:top w:val="nil"/>
          <w:left w:val="nil"/>
          <w:bottom w:val="nil"/>
          <w:right w:val="nil"/>
          <w:between w:val="nil"/>
        </w:pBdr>
        <w:tabs>
          <w:tab w:val="left" w:pos="432"/>
          <w:tab w:val="left" w:pos="1851"/>
        </w:tabs>
        <w:spacing w:after="120" w:line="360" w:lineRule="auto"/>
        <w:jc w:val="both"/>
        <w:rPr>
          <w:rFonts w:ascii="Arial" w:eastAsia="Arial" w:hAnsi="Arial" w:cs="Arial"/>
          <w:color w:val="010000"/>
          <w:sz w:val="20"/>
          <w:szCs w:val="20"/>
        </w:rPr>
      </w:pPr>
      <w:r w:rsidRPr="00C6653D">
        <w:rPr>
          <w:rFonts w:ascii="Arial" w:hAnsi="Arial" w:cs="Arial"/>
          <w:color w:val="010000"/>
          <w:sz w:val="20"/>
        </w:rPr>
        <w:t>Other contents according to the attached plan on issuing bonds to increase private equity for the 3rd time in 2024.</w:t>
      </w:r>
    </w:p>
    <w:p w:rsidR="00D621DC" w:rsidRPr="00C6653D" w:rsidRDefault="00092708" w:rsidP="00777C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‎‎Article 2. Organization and implementation:</w:t>
      </w:r>
    </w:p>
    <w:p w:rsidR="00D621DC" w:rsidRPr="00C6653D" w:rsidRDefault="00092708" w:rsidP="00777C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 xml:space="preserve">For transactions of issuing bonds </w:t>
      </w:r>
      <w:r w:rsidR="00526050" w:rsidRPr="00C6653D">
        <w:rPr>
          <w:rFonts w:ascii="Arial" w:hAnsi="Arial" w:cs="Arial"/>
          <w:color w:val="010000"/>
          <w:sz w:val="20"/>
        </w:rPr>
        <w:t xml:space="preserve">to increase private equity </w:t>
      </w:r>
      <w:r w:rsidRPr="00C6653D">
        <w:rPr>
          <w:rFonts w:ascii="Arial" w:hAnsi="Arial" w:cs="Arial"/>
          <w:color w:val="010000"/>
          <w:sz w:val="20"/>
        </w:rPr>
        <w:t xml:space="preserve">under the authorities of approval of the Board of Directors, the General Manager directs the following tasks: decide on the time of issuance, scale, interest rate, method of payment of principal and interest of bonds, other contents of each issuance and are specifically stipulated in the Information Disclosure about the bond offering and the Notice on the issuance; consider, decide and organize the implementation of the registration and centralized deposit at the Vietnam Securities Depository and Clearing Corporation; Approve and organize the implementation of the registration for bond trading on the corporate bond trading system for private placement at the Hanoi Stock Exchange for bonds of Joint Stock Commercial Bank for Investment and Development of Vietnam that </w:t>
      </w:r>
      <w:r w:rsidR="00C6653D" w:rsidRPr="00C6653D">
        <w:rPr>
          <w:rFonts w:ascii="Arial" w:hAnsi="Arial" w:cs="Arial"/>
          <w:color w:val="010000"/>
          <w:sz w:val="20"/>
        </w:rPr>
        <w:t>are subjected</w:t>
      </w:r>
      <w:r w:rsidRPr="00C6653D">
        <w:rPr>
          <w:rFonts w:ascii="Arial" w:hAnsi="Arial" w:cs="Arial"/>
          <w:color w:val="010000"/>
          <w:sz w:val="20"/>
        </w:rPr>
        <w:t xml:space="preserve"> to registration for trading according to the provisions of law applicable at the time of registration. Within the scope of assigned authority, the General Manager is allowed to decentralize and authorize, on a regular or one-time basis, relevant individuals/units to implement and decide on incurred documents (if necessary).</w:t>
      </w:r>
    </w:p>
    <w:p w:rsidR="00D621DC" w:rsidRPr="00C6653D" w:rsidRDefault="00092708" w:rsidP="00777C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‎‎Article 3. This Resolution takes effect from the date of its signing.</w:t>
      </w:r>
    </w:p>
    <w:p w:rsidR="00D621DC" w:rsidRPr="00C6653D" w:rsidRDefault="00092708" w:rsidP="00777C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6653D">
        <w:rPr>
          <w:rFonts w:ascii="Arial" w:hAnsi="Arial" w:cs="Arial"/>
          <w:color w:val="010000"/>
          <w:sz w:val="20"/>
        </w:rPr>
        <w:t>‎‎Article 4. Members of the Board of Directors, the Executive Board, the Chief Secretariat of the Board of Directors and Shareholder Relations, the Manager of Assets and Liabilities Committee, the Capital and Currency Business Department, and affiliated units and individuals are responsible for the implementation of this Resolution.</w:t>
      </w:r>
      <w:bookmarkEnd w:id="0"/>
    </w:p>
    <w:sectPr w:rsidR="00D621DC" w:rsidRPr="00C6653D" w:rsidSect="00C6653D">
      <w:pgSz w:w="11909" w:h="16840"/>
      <w:pgMar w:top="1440" w:right="1440" w:bottom="1440" w:left="1440" w:header="0" w:footer="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261" w:rsidRDefault="009C2261" w:rsidP="00526050">
      <w:r>
        <w:separator/>
      </w:r>
    </w:p>
  </w:endnote>
  <w:endnote w:type="continuationSeparator" w:id="0">
    <w:p w:rsidR="009C2261" w:rsidRDefault="009C2261" w:rsidP="0052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261" w:rsidRDefault="009C2261" w:rsidP="00526050">
      <w:r>
        <w:separator/>
      </w:r>
    </w:p>
  </w:footnote>
  <w:footnote w:type="continuationSeparator" w:id="0">
    <w:p w:rsidR="009C2261" w:rsidRDefault="009C2261" w:rsidP="00526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F62D8"/>
    <w:multiLevelType w:val="multilevel"/>
    <w:tmpl w:val="9A68021C"/>
    <w:lvl w:ilvl="0">
      <w:start w:val="12"/>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FAC4505"/>
    <w:multiLevelType w:val="multilevel"/>
    <w:tmpl w:val="42481EAE"/>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712274B4"/>
    <w:multiLevelType w:val="multilevel"/>
    <w:tmpl w:val="02641B8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DC"/>
    <w:rsid w:val="00092708"/>
    <w:rsid w:val="003B3357"/>
    <w:rsid w:val="00475A15"/>
    <w:rsid w:val="00526050"/>
    <w:rsid w:val="00777C22"/>
    <w:rsid w:val="009C2261"/>
    <w:rsid w:val="00C6653D"/>
    <w:rsid w:val="00D6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EF03FD-6818-41B7-85CE-CEA2515D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sz w:val="28"/>
      <w:szCs w:val="28"/>
    </w:rPr>
  </w:style>
  <w:style w:type="paragraph" w:customStyle="1" w:styleId="Heading11">
    <w:name w:val="Heading #1"/>
    <w:basedOn w:val="Normal"/>
    <w:link w:val="Heading10"/>
    <w:pPr>
      <w:spacing w:line="276" w:lineRule="auto"/>
      <w:jc w:val="center"/>
      <w:outlineLvl w:val="0"/>
    </w:pPr>
    <w:rPr>
      <w:rFonts w:ascii="Times New Roman" w:eastAsia="Times New Roman" w:hAnsi="Times New Roman" w:cs="Times New Roman"/>
      <w:b/>
      <w:bCs/>
      <w:sz w:val="28"/>
      <w:szCs w:val="28"/>
    </w:rPr>
  </w:style>
  <w:style w:type="paragraph" w:customStyle="1" w:styleId="Tablecaption0">
    <w:name w:val="Table caption"/>
    <w:basedOn w:val="Normal"/>
    <w:link w:val="Tablecaption"/>
    <w:pPr>
      <w:spacing w:line="276" w:lineRule="auto"/>
      <w:ind w:firstLine="580"/>
    </w:pPr>
    <w:rPr>
      <w:rFonts w:ascii="Times New Roman" w:eastAsia="Times New Roman" w:hAnsi="Times New Roman" w:cs="Times New Roman"/>
      <w:sz w:val="28"/>
      <w:szCs w:val="28"/>
    </w:rPr>
  </w:style>
  <w:style w:type="paragraph" w:customStyle="1" w:styleId="Other0">
    <w:name w:val="Other"/>
    <w:basedOn w:val="Normal"/>
    <w:link w:val="Other"/>
    <w:pPr>
      <w:spacing w:line="276" w:lineRule="auto"/>
      <w:ind w:firstLine="400"/>
    </w:pPr>
    <w:rPr>
      <w:rFonts w:ascii="Times New Roman" w:eastAsia="Times New Roman" w:hAnsi="Times New Roman" w:cs="Times New Roman"/>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Header">
    <w:name w:val="header"/>
    <w:basedOn w:val="Normal"/>
    <w:link w:val="HeaderChar"/>
    <w:uiPriority w:val="99"/>
    <w:unhideWhenUsed/>
    <w:rsid w:val="00526050"/>
    <w:pPr>
      <w:tabs>
        <w:tab w:val="center" w:pos="4680"/>
        <w:tab w:val="right" w:pos="9360"/>
      </w:tabs>
    </w:pPr>
  </w:style>
  <w:style w:type="character" w:customStyle="1" w:styleId="HeaderChar">
    <w:name w:val="Header Char"/>
    <w:basedOn w:val="DefaultParagraphFont"/>
    <w:link w:val="Header"/>
    <w:uiPriority w:val="99"/>
    <w:rsid w:val="00526050"/>
    <w:rPr>
      <w:color w:val="000000"/>
    </w:rPr>
  </w:style>
  <w:style w:type="paragraph" w:styleId="Footer">
    <w:name w:val="footer"/>
    <w:basedOn w:val="Normal"/>
    <w:link w:val="FooterChar"/>
    <w:uiPriority w:val="99"/>
    <w:unhideWhenUsed/>
    <w:rsid w:val="00526050"/>
    <w:pPr>
      <w:tabs>
        <w:tab w:val="center" w:pos="4680"/>
        <w:tab w:val="right" w:pos="9360"/>
      </w:tabs>
    </w:pPr>
  </w:style>
  <w:style w:type="character" w:customStyle="1" w:styleId="FooterChar">
    <w:name w:val="Footer Char"/>
    <w:basedOn w:val="DefaultParagraphFont"/>
    <w:link w:val="Footer"/>
    <w:uiPriority w:val="99"/>
    <w:rsid w:val="0052605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QgCyxdXqA2nS3Y1j523ktP+hQ==">CgMxLjA4AHIhMVRsX0kyV0s1OXAydGx1RVpDYWZKN2ZKUERrNEN5cm56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2024-08-08T03:18:00Z</dcterms:created>
  <dcterms:modified xsi:type="dcterms:W3CDTF">2024-08-09T04:13:00Z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b50511150cc42cdee1c495e943baa46eebd3013f0cdbc4c398e2a2641854027c</vt:lpwstr>
  </property>
</Properties>
</file>