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b/>
          <w:color w:val="010000"/>
          <w:sz w:val="20"/>
          <w:szCs w:val="20"/>
        </w:rPr>
      </w:pPr>
      <w:r w:rsidRPr="007907E1">
        <w:rPr>
          <w:rFonts w:ascii="Arial" w:hAnsi="Arial" w:cs="Arial"/>
          <w:b/>
          <w:color w:val="010000"/>
          <w:sz w:val="20"/>
        </w:rPr>
        <w:t>CSI: Board Decision</w:t>
      </w:r>
    </w:p>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 xml:space="preserve">On August 1, 2024, Viet Nam Construction Securities Joint Stock Company announced Decision </w:t>
      </w:r>
      <w:r w:rsidR="00520471" w:rsidRPr="007907E1">
        <w:rPr>
          <w:rFonts w:ascii="Arial" w:hAnsi="Arial" w:cs="Arial"/>
          <w:color w:val="010000"/>
          <w:sz w:val="20"/>
        </w:rPr>
        <w:t xml:space="preserve">No. </w:t>
      </w:r>
      <w:r w:rsidRPr="007907E1">
        <w:rPr>
          <w:rFonts w:ascii="Arial" w:hAnsi="Arial" w:cs="Arial"/>
          <w:color w:val="010000"/>
          <w:sz w:val="20"/>
        </w:rPr>
        <w:t>08/2024/QD-HDQT as follows:</w:t>
      </w:r>
    </w:p>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‎‎Article 1. Approve the Portfolio Management Entrustment Plan for Genesis Fund Management Joint Stock Company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0"/>
        <w:gridCol w:w="6647"/>
      </w:tblGrid>
      <w:tr w:rsidR="00803977" w:rsidRPr="007907E1" w:rsidTr="00520471">
        <w:tc>
          <w:tcPr>
            <w:tcW w:w="1314" w:type="pct"/>
            <w:shd w:val="clear" w:color="auto" w:fill="auto"/>
            <w:tcMar>
              <w:top w:w="0" w:type="dxa"/>
              <w:bottom w:w="0" w:type="dxa"/>
            </w:tcMar>
            <w:vAlign w:val="center"/>
          </w:tcPr>
          <w:p w:rsidR="00803977" w:rsidRPr="007907E1" w:rsidRDefault="007907E1" w:rsidP="0011355A">
            <w:pPr>
              <w:spacing w:after="120" w:line="360" w:lineRule="auto"/>
              <w:jc w:val="both"/>
              <w:rPr>
                <w:rFonts w:ascii="Arial" w:eastAsia="Arial" w:hAnsi="Arial" w:cs="Arial"/>
                <w:color w:val="010000"/>
                <w:sz w:val="20"/>
                <w:szCs w:val="20"/>
              </w:rPr>
            </w:pPr>
            <w:r w:rsidRPr="007907E1">
              <w:rPr>
                <w:rFonts w:ascii="Arial" w:hAnsi="Arial" w:cs="Arial"/>
                <w:color w:val="010000"/>
                <w:sz w:val="20"/>
              </w:rPr>
              <w:t>Name of the Fund Management Company receiving the entrustment</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Genesis Fund Management Joint Stock Company</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spacing w:after="120" w:line="360" w:lineRule="auto"/>
              <w:jc w:val="both"/>
              <w:rPr>
                <w:rFonts w:ascii="Arial" w:eastAsia="Arial" w:hAnsi="Arial" w:cs="Arial"/>
                <w:color w:val="010000"/>
                <w:sz w:val="20"/>
                <w:szCs w:val="20"/>
              </w:rPr>
            </w:pPr>
            <w:r w:rsidRPr="007907E1">
              <w:rPr>
                <w:rFonts w:ascii="Arial" w:hAnsi="Arial" w:cs="Arial"/>
                <w:color w:val="010000"/>
                <w:sz w:val="20"/>
              </w:rPr>
              <w:t xml:space="preserve">Establishment License </w:t>
            </w:r>
            <w:r w:rsidR="00520471" w:rsidRPr="007907E1">
              <w:rPr>
                <w:rFonts w:ascii="Arial" w:hAnsi="Arial" w:cs="Arial"/>
                <w:color w:val="010000"/>
                <w:sz w:val="20"/>
              </w:rPr>
              <w:t xml:space="preserve">No. </w:t>
            </w:r>
            <w:r w:rsidRPr="007907E1">
              <w:rPr>
                <w:rFonts w:ascii="Arial" w:hAnsi="Arial" w:cs="Arial"/>
                <w:color w:val="010000"/>
                <w:sz w:val="20"/>
              </w:rPr>
              <w:t>:</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48/UBCK- GPHDKD issued by the State Securities Commission on January 22, 2009</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spacing w:after="120" w:line="360" w:lineRule="auto"/>
              <w:jc w:val="both"/>
              <w:rPr>
                <w:rFonts w:ascii="Arial" w:eastAsia="Arial" w:hAnsi="Arial" w:cs="Arial"/>
                <w:color w:val="010000"/>
                <w:sz w:val="20"/>
                <w:szCs w:val="20"/>
              </w:rPr>
            </w:pPr>
            <w:r w:rsidRPr="007907E1">
              <w:rPr>
                <w:rFonts w:ascii="Arial" w:hAnsi="Arial" w:cs="Arial"/>
                <w:color w:val="010000"/>
                <w:sz w:val="20"/>
              </w:rPr>
              <w:t>Address:</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 xml:space="preserve">27th Floor, Ngoc </w:t>
            </w:r>
            <w:proofErr w:type="spellStart"/>
            <w:r w:rsidRPr="007907E1">
              <w:rPr>
                <w:rFonts w:ascii="Arial" w:hAnsi="Arial" w:cs="Arial"/>
                <w:color w:val="010000"/>
                <w:sz w:val="20"/>
              </w:rPr>
              <w:t>Khanh</w:t>
            </w:r>
            <w:proofErr w:type="spellEnd"/>
            <w:r w:rsidRPr="007907E1">
              <w:rPr>
                <w:rFonts w:ascii="Arial" w:hAnsi="Arial" w:cs="Arial"/>
                <w:color w:val="010000"/>
                <w:sz w:val="20"/>
              </w:rPr>
              <w:t xml:space="preserve"> </w:t>
            </w:r>
            <w:r w:rsidR="00520471" w:rsidRPr="007907E1">
              <w:rPr>
                <w:rFonts w:ascii="Arial" w:hAnsi="Arial" w:cs="Arial"/>
                <w:color w:val="010000"/>
                <w:sz w:val="20"/>
                <w:lang w:val="vi-VN"/>
              </w:rPr>
              <w:t>S</w:t>
            </w:r>
            <w:r w:rsidR="00520471" w:rsidRPr="007907E1">
              <w:rPr>
                <w:rFonts w:ascii="Arial" w:hAnsi="Arial" w:cs="Arial"/>
                <w:color w:val="010000"/>
                <w:sz w:val="20"/>
              </w:rPr>
              <w:t xml:space="preserve">hopping </w:t>
            </w:r>
            <w:r w:rsidR="00520471" w:rsidRPr="007907E1">
              <w:rPr>
                <w:rFonts w:ascii="Arial" w:hAnsi="Arial" w:cs="Arial"/>
                <w:color w:val="010000"/>
                <w:sz w:val="20"/>
                <w:lang w:val="vi-VN"/>
              </w:rPr>
              <w:t>M</w:t>
            </w:r>
            <w:r w:rsidRPr="007907E1">
              <w:rPr>
                <w:rFonts w:ascii="Arial" w:hAnsi="Arial" w:cs="Arial"/>
                <w:color w:val="010000"/>
                <w:sz w:val="20"/>
              </w:rPr>
              <w:t xml:space="preserve">all Building (Ngoc </w:t>
            </w:r>
            <w:proofErr w:type="spellStart"/>
            <w:r w:rsidRPr="007907E1">
              <w:rPr>
                <w:rFonts w:ascii="Arial" w:hAnsi="Arial" w:cs="Arial"/>
                <w:color w:val="010000"/>
                <w:sz w:val="20"/>
              </w:rPr>
              <w:t>Khanh</w:t>
            </w:r>
            <w:proofErr w:type="spellEnd"/>
            <w:r w:rsidRPr="007907E1">
              <w:rPr>
                <w:rFonts w:ascii="Arial" w:hAnsi="Arial" w:cs="Arial"/>
                <w:color w:val="010000"/>
                <w:sz w:val="20"/>
              </w:rPr>
              <w:t xml:space="preserve"> Plaza), </w:t>
            </w:r>
            <w:r w:rsidR="00520471" w:rsidRPr="007907E1">
              <w:rPr>
                <w:rFonts w:ascii="Arial" w:hAnsi="Arial" w:cs="Arial"/>
                <w:color w:val="010000"/>
                <w:sz w:val="20"/>
              </w:rPr>
              <w:t xml:space="preserve">No. </w:t>
            </w:r>
            <w:r w:rsidRPr="007907E1">
              <w:rPr>
                <w:rFonts w:ascii="Arial" w:hAnsi="Arial" w:cs="Arial"/>
                <w:color w:val="010000"/>
                <w:sz w:val="20"/>
              </w:rPr>
              <w:t xml:space="preserve">1 Pham </w:t>
            </w:r>
            <w:proofErr w:type="spellStart"/>
            <w:r w:rsidRPr="007907E1">
              <w:rPr>
                <w:rFonts w:ascii="Arial" w:hAnsi="Arial" w:cs="Arial"/>
                <w:color w:val="010000"/>
                <w:sz w:val="20"/>
              </w:rPr>
              <w:t>Huy</w:t>
            </w:r>
            <w:proofErr w:type="spellEnd"/>
            <w:r w:rsidRPr="007907E1">
              <w:rPr>
                <w:rFonts w:ascii="Arial" w:hAnsi="Arial" w:cs="Arial"/>
                <w:color w:val="010000"/>
                <w:sz w:val="20"/>
              </w:rPr>
              <w:t xml:space="preserve"> Thong, Ngoc </w:t>
            </w:r>
            <w:proofErr w:type="spellStart"/>
            <w:r w:rsidRPr="007907E1">
              <w:rPr>
                <w:rFonts w:ascii="Arial" w:hAnsi="Arial" w:cs="Arial"/>
                <w:color w:val="010000"/>
                <w:sz w:val="20"/>
              </w:rPr>
              <w:t>Khanh</w:t>
            </w:r>
            <w:proofErr w:type="spellEnd"/>
            <w:r w:rsidRPr="007907E1">
              <w:rPr>
                <w:rFonts w:ascii="Arial" w:hAnsi="Arial" w:cs="Arial"/>
                <w:color w:val="010000"/>
                <w:sz w:val="20"/>
              </w:rPr>
              <w:t xml:space="preserve"> Ward, Ba </w:t>
            </w:r>
            <w:proofErr w:type="spellStart"/>
            <w:r w:rsidRPr="007907E1">
              <w:rPr>
                <w:rFonts w:ascii="Arial" w:hAnsi="Arial" w:cs="Arial"/>
                <w:color w:val="010000"/>
                <w:sz w:val="20"/>
              </w:rPr>
              <w:t>Dinh</w:t>
            </w:r>
            <w:proofErr w:type="spellEnd"/>
            <w:r w:rsidRPr="007907E1">
              <w:rPr>
                <w:rFonts w:ascii="Arial" w:hAnsi="Arial" w:cs="Arial"/>
                <w:color w:val="010000"/>
                <w:sz w:val="20"/>
              </w:rPr>
              <w:t xml:space="preserve"> District, Hanoi</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spacing w:after="120" w:line="360" w:lineRule="auto"/>
              <w:jc w:val="both"/>
              <w:rPr>
                <w:rFonts w:ascii="Arial" w:eastAsia="Arial" w:hAnsi="Arial" w:cs="Arial"/>
                <w:color w:val="010000"/>
                <w:sz w:val="20"/>
                <w:szCs w:val="20"/>
              </w:rPr>
            </w:pPr>
            <w:r w:rsidRPr="007907E1">
              <w:rPr>
                <w:rFonts w:ascii="Arial" w:hAnsi="Arial" w:cs="Arial"/>
                <w:color w:val="010000"/>
                <w:sz w:val="20"/>
              </w:rPr>
              <w:t>Tax Code:</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0103401797</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spacing w:after="120" w:line="360" w:lineRule="auto"/>
              <w:jc w:val="both"/>
              <w:rPr>
                <w:rFonts w:ascii="Arial" w:eastAsia="Arial" w:hAnsi="Arial" w:cs="Arial"/>
                <w:color w:val="010000"/>
                <w:sz w:val="20"/>
                <w:szCs w:val="20"/>
              </w:rPr>
            </w:pPr>
            <w:r w:rsidRPr="007907E1">
              <w:rPr>
                <w:rFonts w:ascii="Arial" w:hAnsi="Arial" w:cs="Arial"/>
                <w:color w:val="010000"/>
                <w:sz w:val="20"/>
              </w:rPr>
              <w:t>Legal representative:</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 xml:space="preserve">Vu </w:t>
            </w:r>
            <w:proofErr w:type="spellStart"/>
            <w:r w:rsidRPr="007907E1">
              <w:rPr>
                <w:rFonts w:ascii="Arial" w:hAnsi="Arial" w:cs="Arial"/>
                <w:color w:val="010000"/>
                <w:sz w:val="20"/>
              </w:rPr>
              <w:t>Quang</w:t>
            </w:r>
            <w:proofErr w:type="spellEnd"/>
            <w:r w:rsidRPr="007907E1">
              <w:rPr>
                <w:rFonts w:ascii="Arial" w:hAnsi="Arial" w:cs="Arial"/>
                <w:color w:val="010000"/>
                <w:sz w:val="20"/>
              </w:rPr>
              <w:t xml:space="preserve"> </w:t>
            </w:r>
            <w:proofErr w:type="spellStart"/>
            <w:r w:rsidRPr="007907E1">
              <w:rPr>
                <w:rFonts w:ascii="Arial" w:hAnsi="Arial" w:cs="Arial"/>
                <w:color w:val="010000"/>
                <w:sz w:val="20"/>
              </w:rPr>
              <w:t>Vinh</w:t>
            </w:r>
            <w:proofErr w:type="spellEnd"/>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spacing w:after="120" w:line="360" w:lineRule="auto"/>
              <w:jc w:val="both"/>
              <w:rPr>
                <w:rFonts w:ascii="Arial" w:eastAsia="Arial" w:hAnsi="Arial" w:cs="Arial"/>
                <w:color w:val="010000"/>
                <w:sz w:val="20"/>
                <w:szCs w:val="20"/>
              </w:rPr>
            </w:pPr>
            <w:r w:rsidRPr="007907E1">
              <w:rPr>
                <w:rFonts w:ascii="Arial" w:hAnsi="Arial" w:cs="Arial"/>
                <w:color w:val="010000"/>
                <w:sz w:val="20"/>
              </w:rPr>
              <w:t>Position:</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The Chair of the Board of Directors</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spacing w:after="120" w:line="360" w:lineRule="auto"/>
              <w:jc w:val="both"/>
              <w:rPr>
                <w:rFonts w:ascii="Arial" w:eastAsia="Arial" w:hAnsi="Arial" w:cs="Arial"/>
                <w:color w:val="010000"/>
                <w:sz w:val="20"/>
                <w:szCs w:val="20"/>
              </w:rPr>
            </w:pPr>
            <w:r w:rsidRPr="007907E1">
              <w:rPr>
                <w:rFonts w:ascii="Arial" w:hAnsi="Arial" w:cs="Arial"/>
                <w:color w:val="010000"/>
                <w:sz w:val="20"/>
              </w:rPr>
              <w:t>Investment capital:</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 xml:space="preserve">Not exceeding VND35,000,000,000 </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spacing w:after="120" w:line="360" w:lineRule="auto"/>
              <w:jc w:val="both"/>
              <w:rPr>
                <w:rFonts w:ascii="Arial" w:eastAsia="Arial" w:hAnsi="Arial" w:cs="Arial"/>
                <w:color w:val="010000"/>
                <w:sz w:val="20"/>
                <w:szCs w:val="20"/>
              </w:rPr>
            </w:pPr>
            <w:r w:rsidRPr="007907E1">
              <w:rPr>
                <w:rFonts w:ascii="Arial" w:hAnsi="Arial" w:cs="Arial"/>
                <w:color w:val="010000"/>
                <w:sz w:val="20"/>
              </w:rPr>
              <w:t>Expected investment time:</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12 months or can be extended depending on the Net Asset Value on the record date of Net Asset Value of the Portfolio Management Entrustment Contract (entrusted management of the entire portfolio) to achieve the Company's expected profit.</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Investment targets:</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Asset growth through (</w:t>
            </w:r>
            <w:proofErr w:type="spellStart"/>
            <w:r w:rsidRPr="007907E1">
              <w:rPr>
                <w:rFonts w:ascii="Arial" w:hAnsi="Arial" w:cs="Arial"/>
                <w:color w:val="010000"/>
                <w:sz w:val="20"/>
              </w:rPr>
              <w:t>i</w:t>
            </w:r>
            <w:proofErr w:type="spellEnd"/>
            <w:r w:rsidRPr="007907E1">
              <w:rPr>
                <w:rFonts w:ascii="Arial" w:hAnsi="Arial" w:cs="Arial"/>
                <w:color w:val="010000"/>
                <w:sz w:val="20"/>
              </w:rPr>
              <w:t>) income; (ii) long-term growth; and (iii) price growth</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Risk tolerance:</w:t>
            </w:r>
          </w:p>
        </w:tc>
        <w:tc>
          <w:tcPr>
            <w:tcW w:w="3686" w:type="pct"/>
            <w:shd w:val="clear" w:color="auto" w:fill="auto"/>
            <w:tcMar>
              <w:top w:w="0" w:type="dxa"/>
              <w:bottom w:w="0" w:type="dxa"/>
            </w:tcMar>
            <w:vAlign w:val="center"/>
          </w:tcPr>
          <w:p w:rsidR="00803977" w:rsidRPr="007907E1" w:rsidRDefault="0040017C"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Medium-high</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spacing w:after="120" w:line="360" w:lineRule="auto"/>
              <w:jc w:val="both"/>
              <w:rPr>
                <w:rFonts w:ascii="Arial" w:eastAsia="Arial" w:hAnsi="Arial" w:cs="Arial"/>
                <w:color w:val="010000"/>
                <w:sz w:val="20"/>
                <w:szCs w:val="20"/>
              </w:rPr>
            </w:pPr>
            <w:r w:rsidRPr="007907E1">
              <w:rPr>
                <w:rFonts w:ascii="Arial" w:hAnsi="Arial" w:cs="Arial"/>
                <w:color w:val="010000"/>
                <w:sz w:val="20"/>
              </w:rPr>
              <w:t>Investment strategy:</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Listed securities (excluding derivatives)</w:t>
            </w:r>
            <w:r w:rsidR="0040017C" w:rsidRPr="007907E1">
              <w:rPr>
                <w:rFonts w:ascii="Arial" w:hAnsi="Arial" w:cs="Arial"/>
                <w:color w:val="010000"/>
                <w:sz w:val="20"/>
                <w:lang w:val="vi-VN"/>
              </w:rPr>
              <w:t>,</w:t>
            </w:r>
            <w:r w:rsidRPr="007907E1">
              <w:rPr>
                <w:rFonts w:ascii="Arial" w:hAnsi="Arial" w:cs="Arial"/>
                <w:color w:val="010000"/>
                <w:sz w:val="20"/>
              </w:rPr>
              <w:t xml:space="preserve"> securities registered for trading on the stock exchange of unlisted public companies - UPCOM, open-ended fund certificates, deposits, term valuable papers, transfer instruments on the money market, and other types of investment on the financial market permitted by the law. Consider adding unlisted securities, convertible bonds, and other types of instruments according to each period based on macro analysis and market assessment</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Securities selection:</w:t>
            </w:r>
          </w:p>
        </w:tc>
        <w:tc>
          <w:tcPr>
            <w:tcW w:w="3686" w:type="pct"/>
            <w:shd w:val="clear" w:color="auto" w:fill="auto"/>
            <w:tcMar>
              <w:top w:w="0" w:type="dxa"/>
              <w:bottom w:w="0" w:type="dxa"/>
            </w:tcMar>
            <w:vAlign w:val="center"/>
          </w:tcPr>
          <w:p w:rsidR="00803977" w:rsidRPr="007907E1" w:rsidRDefault="007907E1" w:rsidP="0011355A">
            <w:pPr>
              <w:numPr>
                <w:ilvl w:val="0"/>
                <w:numId w:val="2"/>
              </w:numPr>
              <w:pBdr>
                <w:top w:val="nil"/>
                <w:left w:val="nil"/>
                <w:bottom w:val="nil"/>
                <w:right w:val="nil"/>
                <w:between w:val="nil"/>
              </w:pBdr>
              <w:tabs>
                <w:tab w:val="left" w:pos="349"/>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Shares selection:</w:t>
            </w:r>
          </w:p>
          <w:p w:rsidR="00803977" w:rsidRPr="007907E1" w:rsidRDefault="007907E1" w:rsidP="0011355A">
            <w:pPr>
              <w:numPr>
                <w:ilvl w:val="0"/>
                <w:numId w:val="3"/>
              </w:numPr>
              <w:pBdr>
                <w:top w:val="nil"/>
                <w:left w:val="nil"/>
                <w:bottom w:val="nil"/>
                <w:right w:val="nil"/>
                <w:between w:val="nil"/>
              </w:pBdr>
              <w:tabs>
                <w:tab w:val="left" w:pos="432"/>
                <w:tab w:val="left" w:pos="796"/>
              </w:tabs>
              <w:spacing w:after="120" w:line="360" w:lineRule="auto"/>
              <w:jc w:val="both"/>
              <w:rPr>
                <w:rFonts w:ascii="Arial" w:eastAsia="Arial" w:hAnsi="Arial" w:cs="Arial"/>
                <w:color w:val="010000"/>
                <w:sz w:val="20"/>
                <w:szCs w:val="20"/>
              </w:rPr>
            </w:pPr>
            <w:r w:rsidRPr="007907E1">
              <w:rPr>
                <w:rFonts w:ascii="Arial" w:hAnsi="Arial" w:cs="Arial"/>
                <w:color w:val="010000"/>
                <w:sz w:val="20"/>
              </w:rPr>
              <w:t xml:space="preserve">Invest in listed securities, registered shares with medium and large market capitalization (prioritizing shares with large capitalization), in the value shares group and the group of shares with good profit expectations, benefiting from macro policies, and at the same time, can combine a part of </w:t>
            </w:r>
            <w:r w:rsidRPr="007907E1">
              <w:rPr>
                <w:rFonts w:ascii="Arial" w:hAnsi="Arial" w:cs="Arial"/>
                <w:color w:val="010000"/>
                <w:sz w:val="20"/>
              </w:rPr>
              <w:lastRenderedPageBreak/>
              <w:t>shares in the growth group to capture market fluctuations.</w:t>
            </w:r>
          </w:p>
          <w:p w:rsidR="00803977" w:rsidRPr="007907E1" w:rsidRDefault="007907E1" w:rsidP="0011355A">
            <w:pPr>
              <w:numPr>
                <w:ilvl w:val="0"/>
                <w:numId w:val="3"/>
              </w:numPr>
              <w:pBdr>
                <w:top w:val="nil"/>
                <w:left w:val="nil"/>
                <w:bottom w:val="nil"/>
                <w:right w:val="nil"/>
                <w:between w:val="nil"/>
              </w:pBdr>
              <w:tabs>
                <w:tab w:val="left" w:pos="432"/>
                <w:tab w:val="left" w:pos="800"/>
              </w:tabs>
              <w:spacing w:after="120" w:line="360" w:lineRule="auto"/>
              <w:jc w:val="both"/>
              <w:rPr>
                <w:rFonts w:ascii="Arial" w:eastAsia="Arial" w:hAnsi="Arial" w:cs="Arial"/>
                <w:color w:val="010000"/>
                <w:sz w:val="20"/>
                <w:szCs w:val="20"/>
              </w:rPr>
            </w:pPr>
            <w:r w:rsidRPr="007907E1">
              <w:rPr>
                <w:rFonts w:ascii="Arial" w:hAnsi="Arial" w:cs="Arial"/>
                <w:color w:val="010000"/>
                <w:sz w:val="20"/>
              </w:rPr>
              <w:t xml:space="preserve">Securities of companies that are assessed as good representatives (leading) in </w:t>
            </w:r>
            <w:r w:rsidR="0040017C" w:rsidRPr="007907E1">
              <w:rPr>
                <w:rFonts w:ascii="Arial" w:hAnsi="Arial" w:cs="Arial"/>
                <w:color w:val="010000"/>
                <w:sz w:val="20"/>
              </w:rPr>
              <w:t>some</w:t>
            </w:r>
            <w:r w:rsidRPr="007907E1">
              <w:rPr>
                <w:rFonts w:ascii="Arial" w:hAnsi="Arial" w:cs="Arial"/>
                <w:color w:val="010000"/>
                <w:sz w:val="20"/>
              </w:rPr>
              <w:t xml:space="preserve"> typical industry groups, have good production and business activities, have growth, benefit in the short/medium term from the development of the Vietnamese economy, have a leadership team with a safe financial management policy, and have a stable dividend history.</w:t>
            </w:r>
          </w:p>
          <w:p w:rsidR="00803977" w:rsidRPr="007907E1" w:rsidRDefault="007907E1" w:rsidP="0011355A">
            <w:pPr>
              <w:numPr>
                <w:ilvl w:val="0"/>
                <w:numId w:val="3"/>
              </w:numPr>
              <w:pBdr>
                <w:top w:val="nil"/>
                <w:left w:val="nil"/>
                <w:bottom w:val="nil"/>
                <w:right w:val="nil"/>
                <w:between w:val="nil"/>
              </w:pBdr>
              <w:tabs>
                <w:tab w:val="left" w:pos="432"/>
                <w:tab w:val="left" w:pos="804"/>
              </w:tabs>
              <w:spacing w:after="120" w:line="360" w:lineRule="auto"/>
              <w:jc w:val="both"/>
              <w:rPr>
                <w:rFonts w:ascii="Arial" w:eastAsia="Arial" w:hAnsi="Arial" w:cs="Arial"/>
                <w:color w:val="010000"/>
                <w:sz w:val="20"/>
                <w:szCs w:val="20"/>
              </w:rPr>
            </w:pPr>
            <w:r w:rsidRPr="007907E1">
              <w:rPr>
                <w:rFonts w:ascii="Arial" w:hAnsi="Arial" w:cs="Arial"/>
                <w:color w:val="010000"/>
                <w:sz w:val="20"/>
              </w:rPr>
              <w:t>These securities are traded at reasonable prices, with the potential to increase in price in the future.</w:t>
            </w:r>
          </w:p>
          <w:p w:rsidR="00803977" w:rsidRPr="007907E1" w:rsidRDefault="007907E1" w:rsidP="0011355A">
            <w:pPr>
              <w:numPr>
                <w:ilvl w:val="0"/>
                <w:numId w:val="2"/>
              </w:numPr>
              <w:pBdr>
                <w:top w:val="nil"/>
                <w:left w:val="nil"/>
                <w:bottom w:val="nil"/>
                <w:right w:val="nil"/>
                <w:between w:val="nil"/>
              </w:pBdr>
              <w:tabs>
                <w:tab w:val="left" w:pos="320"/>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Bonds selection:</w:t>
            </w:r>
          </w:p>
          <w:p w:rsidR="00803977" w:rsidRPr="007907E1" w:rsidRDefault="007907E1" w:rsidP="0011355A">
            <w:pPr>
              <w:numPr>
                <w:ilvl w:val="0"/>
                <w:numId w:val="3"/>
              </w:numPr>
              <w:pBdr>
                <w:top w:val="nil"/>
                <w:left w:val="nil"/>
                <w:bottom w:val="nil"/>
                <w:right w:val="nil"/>
                <w:between w:val="nil"/>
              </w:pBdr>
              <w:tabs>
                <w:tab w:val="left" w:pos="432"/>
                <w:tab w:val="left" w:pos="796"/>
              </w:tabs>
              <w:spacing w:after="120" w:line="360" w:lineRule="auto"/>
              <w:jc w:val="both"/>
              <w:rPr>
                <w:rFonts w:ascii="Arial" w:eastAsia="Arial" w:hAnsi="Arial" w:cs="Arial"/>
                <w:color w:val="010000"/>
                <w:sz w:val="20"/>
                <w:szCs w:val="20"/>
              </w:rPr>
            </w:pPr>
            <w:r w:rsidRPr="007907E1">
              <w:rPr>
                <w:rFonts w:ascii="Arial" w:hAnsi="Arial" w:cs="Arial"/>
                <w:color w:val="010000"/>
                <w:sz w:val="20"/>
              </w:rPr>
              <w:t>Listed bonds issued by large enterprises with healthy financial status.</w:t>
            </w:r>
          </w:p>
          <w:p w:rsidR="00803977" w:rsidRPr="007907E1" w:rsidRDefault="007907E1" w:rsidP="0011355A">
            <w:pPr>
              <w:numPr>
                <w:ilvl w:val="0"/>
                <w:numId w:val="3"/>
              </w:numPr>
              <w:pBdr>
                <w:top w:val="nil"/>
                <w:left w:val="nil"/>
                <w:bottom w:val="nil"/>
                <w:right w:val="nil"/>
                <w:between w:val="nil"/>
              </w:pBdr>
              <w:tabs>
                <w:tab w:val="left" w:pos="432"/>
                <w:tab w:val="left" w:pos="773"/>
              </w:tabs>
              <w:spacing w:after="120" w:line="360" w:lineRule="auto"/>
              <w:jc w:val="both"/>
              <w:rPr>
                <w:rFonts w:ascii="Arial" w:eastAsia="Arial" w:hAnsi="Arial" w:cs="Arial"/>
                <w:color w:val="010000"/>
                <w:sz w:val="20"/>
                <w:szCs w:val="20"/>
              </w:rPr>
            </w:pPr>
            <w:r w:rsidRPr="007907E1">
              <w:rPr>
                <w:rFonts w:ascii="Arial" w:hAnsi="Arial" w:cs="Arial"/>
                <w:color w:val="010000"/>
                <w:sz w:val="20"/>
              </w:rPr>
              <w:t>Bonds with reasonable maturities according to Genesis Fund Management Joint Stock Company's assessment.</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lastRenderedPageBreak/>
              <w:t>Portfolio restructuring:</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Flexible and active in allocating the rate of shares in the Portfolio, between short-term investment securities and securities with potential for price growth in the medium and long term.</w:t>
            </w:r>
          </w:p>
          <w:p w:rsidR="00803977" w:rsidRPr="007907E1" w:rsidRDefault="007907E1" w:rsidP="0011355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 xml:space="preserve">Consider actively buying and selling in each period to optimize </w:t>
            </w:r>
            <w:r w:rsidR="0040017C" w:rsidRPr="007907E1">
              <w:rPr>
                <w:rFonts w:ascii="Arial" w:hAnsi="Arial" w:cs="Arial"/>
                <w:color w:val="010000"/>
                <w:sz w:val="20"/>
              </w:rPr>
              <w:t xml:space="preserve">the </w:t>
            </w:r>
            <w:r w:rsidRPr="007907E1">
              <w:rPr>
                <w:rFonts w:ascii="Arial" w:hAnsi="Arial" w:cs="Arial"/>
                <w:color w:val="010000"/>
                <w:sz w:val="20"/>
              </w:rPr>
              <w:t>profit rate</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tabs>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Profit realization:</w:t>
            </w:r>
          </w:p>
        </w:tc>
        <w:tc>
          <w:tcPr>
            <w:tcW w:w="3686" w:type="pct"/>
            <w:shd w:val="clear" w:color="auto" w:fill="auto"/>
            <w:tcMar>
              <w:top w:w="0" w:type="dxa"/>
              <w:bottom w:w="0" w:type="dxa"/>
            </w:tcMar>
            <w:vAlign w:val="center"/>
          </w:tcPr>
          <w:p w:rsidR="00803977" w:rsidRPr="007907E1" w:rsidRDefault="007907E1" w:rsidP="0011355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Flexible.</w:t>
            </w:r>
          </w:p>
        </w:tc>
      </w:tr>
      <w:tr w:rsidR="00803977" w:rsidRPr="007907E1" w:rsidTr="00520471">
        <w:tc>
          <w:tcPr>
            <w:tcW w:w="1314" w:type="pct"/>
            <w:shd w:val="clear" w:color="auto" w:fill="auto"/>
            <w:tcMar>
              <w:top w:w="0" w:type="dxa"/>
              <w:bottom w:w="0" w:type="dxa"/>
            </w:tcMar>
            <w:vAlign w:val="center"/>
          </w:tcPr>
          <w:p w:rsidR="00803977" w:rsidRPr="007907E1" w:rsidRDefault="007907E1" w:rsidP="0011355A">
            <w:pPr>
              <w:tabs>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Loss cutting principle:</w:t>
            </w:r>
          </w:p>
        </w:tc>
        <w:tc>
          <w:tcPr>
            <w:tcW w:w="3686" w:type="pct"/>
            <w:shd w:val="clear" w:color="auto" w:fill="auto"/>
            <w:tcMar>
              <w:top w:w="0" w:type="dxa"/>
              <w:bottom w:w="0" w:type="dxa"/>
            </w:tcMar>
            <w:vAlign w:val="center"/>
          </w:tcPr>
          <w:p w:rsidR="00803977" w:rsidRPr="007907E1" w:rsidRDefault="007907E1" w:rsidP="0011355A">
            <w:pPr>
              <w:numPr>
                <w:ilvl w:val="0"/>
                <w:numId w:val="1"/>
              </w:numPr>
              <w:pBdr>
                <w:top w:val="nil"/>
                <w:left w:val="nil"/>
                <w:bottom w:val="nil"/>
                <w:right w:val="nil"/>
                <w:between w:val="nil"/>
              </w:pBdr>
              <w:tabs>
                <w:tab w:val="left" w:pos="353"/>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When the investment portfolio loses up to 30%, Party B will contact Party A through the information channels Party A has registered in advance to discuss the situation of the portfolio. At this point, Party B will only be allowed to sell assets in the portfolio and not buy more.</w:t>
            </w:r>
          </w:p>
          <w:p w:rsidR="00803977" w:rsidRPr="007907E1" w:rsidRDefault="007907E1" w:rsidP="0011355A">
            <w:pPr>
              <w:numPr>
                <w:ilvl w:val="0"/>
                <w:numId w:val="1"/>
              </w:numPr>
              <w:pBdr>
                <w:top w:val="nil"/>
                <w:left w:val="nil"/>
                <w:bottom w:val="nil"/>
                <w:right w:val="nil"/>
                <w:between w:val="nil"/>
              </w:pBdr>
              <w:tabs>
                <w:tab w:val="left" w:pos="353"/>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When the investment portfolio loses up to 40%, Party B will contact Party A through the information channels Party A has registered in advance to discuss the loss cutting. Party B will based on the specific situation of the portfolio and the rate of shares in the portfolio at that time decide to apply appropriate technical measures to optimize the customer's capital.</w:t>
            </w:r>
          </w:p>
          <w:p w:rsidR="00803977" w:rsidRPr="007907E1" w:rsidRDefault="007907E1" w:rsidP="0011355A">
            <w:pPr>
              <w:numPr>
                <w:ilvl w:val="0"/>
                <w:numId w:val="1"/>
              </w:num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907E1">
              <w:rPr>
                <w:rFonts w:ascii="Arial" w:hAnsi="Arial" w:cs="Arial"/>
                <w:color w:val="010000"/>
                <w:sz w:val="20"/>
              </w:rPr>
              <w:t>Genesis Fund Management Joint Stock Company committed to completing the loss cutting within 03 working days from the time of the loss cutting. After this period, except for cases due to objective reasons from the market, Genesis Fund Management Joint Stock Company is responsible for compensating the Company for damages caused by Genesis Fund Management Joint Stock Company’s delay in processing divestment transactions due to its fault for the delay in processing compared to the time agreed by the two parties.</w:t>
            </w:r>
          </w:p>
        </w:tc>
      </w:tr>
    </w:tbl>
    <w:p w:rsidR="00803977" w:rsidRPr="007907E1" w:rsidRDefault="007907E1" w:rsidP="0011355A">
      <w:pPr>
        <w:pBdr>
          <w:top w:val="nil"/>
          <w:left w:val="nil"/>
          <w:bottom w:val="nil"/>
          <w:right w:val="nil"/>
          <w:between w:val="nil"/>
        </w:pBdr>
        <w:tabs>
          <w:tab w:val="left" w:pos="9572"/>
        </w:tabs>
        <w:spacing w:after="120" w:line="360" w:lineRule="auto"/>
        <w:jc w:val="both"/>
        <w:rPr>
          <w:rFonts w:ascii="Arial" w:eastAsia="Arial" w:hAnsi="Arial" w:cs="Arial"/>
          <w:color w:val="010000"/>
          <w:sz w:val="20"/>
          <w:szCs w:val="20"/>
        </w:rPr>
      </w:pPr>
      <w:r w:rsidRPr="007907E1">
        <w:rPr>
          <w:rFonts w:ascii="Arial" w:hAnsi="Arial" w:cs="Arial"/>
          <w:color w:val="010000"/>
          <w:sz w:val="20"/>
        </w:rPr>
        <w:t xml:space="preserve">‎‎Article 2. This Decision takes effect from the date of its signing. The Board of Directors assigned the Board of Managers and relevant units to implement this Decision in accordance with provisions of the </w:t>
      </w:r>
      <w:r w:rsidRPr="007907E1">
        <w:rPr>
          <w:rFonts w:ascii="Arial" w:hAnsi="Arial" w:cs="Arial"/>
          <w:color w:val="010000"/>
          <w:sz w:val="20"/>
        </w:rPr>
        <w:lastRenderedPageBreak/>
        <w:t>law and the Company’s Charter.</w:t>
      </w:r>
      <w:bookmarkStart w:id="0" w:name="_GoBack"/>
      <w:bookmarkEnd w:id="0"/>
    </w:p>
    <w:sectPr w:rsidR="00803977" w:rsidRPr="007907E1" w:rsidSect="0052047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4F83"/>
    <w:multiLevelType w:val="multilevel"/>
    <w:tmpl w:val="4E9E81E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F524DF3"/>
    <w:multiLevelType w:val="multilevel"/>
    <w:tmpl w:val="34841F1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02C50A7"/>
    <w:multiLevelType w:val="multilevel"/>
    <w:tmpl w:val="D0D0426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77"/>
    <w:rsid w:val="0011355A"/>
    <w:rsid w:val="0040017C"/>
    <w:rsid w:val="00520471"/>
    <w:rsid w:val="007907E1"/>
    <w:rsid w:val="0080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C14040-FA52-4F4C-A471-D62A88F1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color w:val="292A2B"/>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55585C"/>
      <w:sz w:val="11"/>
      <w:szCs w:val="11"/>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color w:val="9599B0"/>
      <w:sz w:val="18"/>
      <w:szCs w:val="1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292A2B"/>
      <w:sz w:val="28"/>
      <w:szCs w:val="28"/>
      <w:u w:val="none"/>
      <w:shd w:val="clear" w:color="auto" w:fill="auto"/>
    </w:rPr>
  </w:style>
  <w:style w:type="character" w:customStyle="1" w:styleId="Vnbnnidung3">
    <w:name w:val="Văn bản nội dung (3)_"/>
    <w:basedOn w:val="DefaultParagraphFont"/>
    <w:link w:val="Vnbnnidung30"/>
    <w:rPr>
      <w:b w:val="0"/>
      <w:bCs w:val="0"/>
      <w:i w:val="0"/>
      <w:iCs w:val="0"/>
      <w:smallCaps w:val="0"/>
      <w:strike w:val="0"/>
      <w:color w:val="292A2B"/>
      <w:sz w:val="24"/>
      <w:szCs w:val="24"/>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10"/>
      <w:szCs w:val="10"/>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15"/>
      <w:szCs w:val="15"/>
      <w:u w:val="none"/>
      <w:shd w:val="clear" w:color="auto" w:fill="auto"/>
    </w:rPr>
  </w:style>
  <w:style w:type="character" w:customStyle="1" w:styleId="Chthchbng">
    <w:name w:val="Chú thích bảng_"/>
    <w:basedOn w:val="DefaultParagraphFont"/>
    <w:link w:val="Chthchbng0"/>
    <w:rPr>
      <w:rFonts w:ascii="Arial" w:eastAsia="Arial" w:hAnsi="Arial" w:cs="Arial"/>
      <w:b w:val="0"/>
      <w:bCs w:val="0"/>
      <w:i w:val="0"/>
      <w:iCs w:val="0"/>
      <w:smallCaps w:val="0"/>
      <w:strike w:val="0"/>
      <w:sz w:val="11"/>
      <w:szCs w:val="11"/>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i/>
      <w:iCs/>
      <w:color w:val="292A2B"/>
    </w:rPr>
  </w:style>
  <w:style w:type="paragraph" w:customStyle="1" w:styleId="Vnbnnidung20">
    <w:name w:val="Văn bản nội dung (2)"/>
    <w:basedOn w:val="Normal"/>
    <w:link w:val="Vnbnnidung2"/>
    <w:rPr>
      <w:rFonts w:ascii="Arial" w:eastAsia="Arial" w:hAnsi="Arial" w:cs="Arial"/>
      <w:color w:val="55585C"/>
      <w:sz w:val="11"/>
      <w:szCs w:val="11"/>
    </w:rPr>
  </w:style>
  <w:style w:type="paragraph" w:customStyle="1" w:styleId="Vnbnnidung40">
    <w:name w:val="Văn bản nội dung (4)"/>
    <w:basedOn w:val="Normal"/>
    <w:link w:val="Vnbnnidung4"/>
    <w:pPr>
      <w:spacing w:line="180" w:lineRule="auto"/>
      <w:jc w:val="center"/>
    </w:pPr>
    <w:rPr>
      <w:rFonts w:ascii="Arial" w:eastAsia="Arial" w:hAnsi="Arial" w:cs="Arial"/>
      <w:b/>
      <w:bCs/>
      <w:color w:val="9599B0"/>
      <w:sz w:val="18"/>
      <w:szCs w:val="18"/>
    </w:rPr>
  </w:style>
  <w:style w:type="paragraph" w:customStyle="1" w:styleId="Tiu10">
    <w:name w:val="Tiêu đề #1"/>
    <w:basedOn w:val="Normal"/>
    <w:link w:val="Tiu1"/>
    <w:pPr>
      <w:spacing w:line="187" w:lineRule="auto"/>
      <w:ind w:left="2180"/>
      <w:jc w:val="right"/>
      <w:outlineLvl w:val="0"/>
    </w:pPr>
    <w:rPr>
      <w:rFonts w:ascii="Times New Roman" w:eastAsia="Times New Roman" w:hAnsi="Times New Roman" w:cs="Times New Roman"/>
      <w:b/>
      <w:bCs/>
      <w:color w:val="292A2B"/>
      <w:sz w:val="28"/>
      <w:szCs w:val="28"/>
    </w:rPr>
  </w:style>
  <w:style w:type="paragraph" w:customStyle="1" w:styleId="Vnbnnidung30">
    <w:name w:val="Văn bản nội dung (3)"/>
    <w:basedOn w:val="Normal"/>
    <w:link w:val="Vnbnnidung3"/>
    <w:pPr>
      <w:spacing w:line="209" w:lineRule="auto"/>
      <w:ind w:left="4060" w:firstLine="320"/>
    </w:pPr>
    <w:rPr>
      <w:color w:val="292A2B"/>
    </w:rPr>
  </w:style>
  <w:style w:type="paragraph" w:customStyle="1" w:styleId="Khc0">
    <w:name w:val="Khác"/>
    <w:basedOn w:val="Normal"/>
    <w:link w:val="Khc"/>
    <w:pPr>
      <w:spacing w:line="276" w:lineRule="auto"/>
    </w:pPr>
    <w:rPr>
      <w:rFonts w:ascii="Times New Roman" w:eastAsia="Times New Roman" w:hAnsi="Times New Roman" w:cs="Times New Roman"/>
    </w:rPr>
  </w:style>
  <w:style w:type="paragraph" w:customStyle="1" w:styleId="Vnbnnidung60">
    <w:name w:val="Văn bản nội dung (6)"/>
    <w:basedOn w:val="Normal"/>
    <w:link w:val="Vnbnnidung6"/>
    <w:pPr>
      <w:jc w:val="right"/>
    </w:pPr>
    <w:rPr>
      <w:rFonts w:ascii="Times New Roman" w:eastAsia="Times New Roman" w:hAnsi="Times New Roman" w:cs="Times New Roman"/>
      <w:sz w:val="10"/>
      <w:szCs w:val="10"/>
    </w:rPr>
  </w:style>
  <w:style w:type="paragraph" w:customStyle="1" w:styleId="Vnbnnidung50">
    <w:name w:val="Văn bản nội dung (5)"/>
    <w:basedOn w:val="Normal"/>
    <w:link w:val="Vnbnnidung5"/>
    <w:pPr>
      <w:spacing w:line="180" w:lineRule="auto"/>
    </w:pPr>
    <w:rPr>
      <w:rFonts w:ascii="Arial" w:eastAsia="Arial" w:hAnsi="Arial" w:cs="Arial"/>
      <w:sz w:val="15"/>
      <w:szCs w:val="15"/>
    </w:rPr>
  </w:style>
  <w:style w:type="paragraph" w:customStyle="1" w:styleId="Chthchbng0">
    <w:name w:val="Chú thích bảng"/>
    <w:basedOn w:val="Normal"/>
    <w:link w:val="Chthchbng"/>
    <w:pPr>
      <w:spacing w:line="211" w:lineRule="auto"/>
      <w:jc w:val="right"/>
    </w:pPr>
    <w:rPr>
      <w:rFonts w:ascii="Arial" w:eastAsia="Arial" w:hAnsi="Arial" w:cs="Arial"/>
      <w:sz w:val="11"/>
      <w:szCs w:val="1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svSnt5VqO9LcwG4xXkKqQmK0A==">CgMxLjA4AHIhMW1lVU93QWdqNGo2M1FqMHVYcU9DYzEwbXppUjVBOHVP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680</Words>
  <Characters>3786</Characters>
  <Application>Microsoft Office Word</Application>
  <DocSecurity>0</DocSecurity>
  <Lines>90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3</cp:revision>
  <dcterms:created xsi:type="dcterms:W3CDTF">2024-08-07T03:53:00Z</dcterms:created>
  <dcterms:modified xsi:type="dcterms:W3CDTF">2024-08-08T02:58:00Z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7e7485444a9fb21f314a48805a549034bc01750da19b1166000f0335f14d37e9</vt:lpwstr>
  </property>
</Properties>
</file>