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bookmarkEnd w:id="0"/>
      <w:r w:rsidRPr="00EA028C">
        <w:rPr>
          <w:rFonts w:ascii="Arial" w:hAnsi="Arial" w:cs="Arial"/>
          <w:b/>
          <w:color w:val="010000"/>
          <w:sz w:val="20"/>
        </w:rPr>
        <w:t>MLS: Board Resolution</w:t>
      </w:r>
    </w:p>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 xml:space="preserve">On August 2, 2024, Mitraco Livestock Joint Stock Company announced Resolution </w:t>
      </w:r>
      <w:r w:rsidR="00B1028A" w:rsidRPr="00EA028C">
        <w:rPr>
          <w:rFonts w:ascii="Arial" w:hAnsi="Arial" w:cs="Arial"/>
          <w:color w:val="010000"/>
          <w:sz w:val="20"/>
        </w:rPr>
        <w:t xml:space="preserve">No. </w:t>
      </w:r>
      <w:r w:rsidRPr="00EA028C">
        <w:rPr>
          <w:rFonts w:ascii="Arial" w:hAnsi="Arial" w:cs="Arial"/>
          <w:color w:val="010000"/>
          <w:sz w:val="20"/>
        </w:rPr>
        <w:t>18/NQ-HDQT as follows:</w:t>
      </w:r>
    </w:p>
    <w:p w:rsidR="00304D06" w:rsidRPr="00EA028C" w:rsidRDefault="00EA028C" w:rsidP="00B1028A">
      <w:pPr>
        <w:pBdr>
          <w:top w:val="nil"/>
          <w:left w:val="nil"/>
          <w:bottom w:val="nil"/>
          <w:right w:val="nil"/>
          <w:between w:val="nil"/>
        </w:pBdr>
        <w:tabs>
          <w:tab w:val="left" w:pos="432"/>
          <w:tab w:val="left" w:pos="5381"/>
          <w:tab w:val="left" w:pos="8280"/>
          <w:tab w:val="left" w:pos="9720"/>
        </w:tabs>
        <w:spacing w:after="120" w:line="360" w:lineRule="auto"/>
        <w:rPr>
          <w:rFonts w:ascii="Arial" w:eastAsia="Arial" w:hAnsi="Arial" w:cs="Arial"/>
          <w:color w:val="010000"/>
          <w:sz w:val="20"/>
          <w:szCs w:val="20"/>
        </w:rPr>
      </w:pPr>
      <w:r w:rsidRPr="00EA028C">
        <w:rPr>
          <w:rFonts w:ascii="Arial" w:hAnsi="Arial" w:cs="Arial"/>
          <w:color w:val="010000"/>
          <w:sz w:val="20"/>
        </w:rPr>
        <w:t>Article 1: Approve the production and business results:</w:t>
      </w:r>
      <w:r w:rsidR="00B1028A" w:rsidRPr="00EA028C">
        <w:rPr>
          <w:rFonts w:ascii="Arial" w:hAnsi="Arial" w:cs="Arial"/>
          <w:color w:val="010000"/>
          <w:sz w:val="20"/>
        </w:rPr>
        <w:t xml:space="preserve"> </w:t>
      </w:r>
      <w:r w:rsidRPr="00EA028C">
        <w:rPr>
          <w:rFonts w:ascii="Arial" w:hAnsi="Arial" w:cs="Arial"/>
          <w:color w:val="010000"/>
          <w:sz w:val="20"/>
        </w:rPr>
        <w:t>Q2/2024, accumulated for the first 6 months of 2024, specifically as follows:</w:t>
      </w:r>
    </w:p>
    <w:tbl>
      <w:tblPr>
        <w:tblStyle w:val="a"/>
        <w:tblW w:w="5000" w:type="pct"/>
        <w:tblLook w:val="0000" w:firstRow="0" w:lastRow="0" w:firstColumn="0" w:lastColumn="0" w:noHBand="0" w:noVBand="0"/>
      </w:tblPr>
      <w:tblGrid>
        <w:gridCol w:w="501"/>
        <w:gridCol w:w="2135"/>
        <w:gridCol w:w="1721"/>
        <w:gridCol w:w="1096"/>
        <w:gridCol w:w="1108"/>
        <w:gridCol w:w="1118"/>
        <w:gridCol w:w="1338"/>
      </w:tblGrid>
      <w:tr w:rsidR="00304D06" w:rsidRPr="00EA028C" w:rsidTr="00B1028A">
        <w:tc>
          <w:tcPr>
            <w:tcW w:w="307" w:type="pct"/>
            <w:vMerge w:val="restart"/>
            <w:tcBorders>
              <w:top w:val="single" w:sz="4" w:space="0" w:color="000000"/>
              <w:left w:val="single" w:sz="4" w:space="0" w:color="000000"/>
            </w:tcBorders>
            <w:shd w:val="clear" w:color="auto" w:fill="auto"/>
            <w:tcMar>
              <w:top w:w="0" w:type="dxa"/>
              <w:bottom w:w="0" w:type="dxa"/>
            </w:tcMar>
            <w:vAlign w:val="center"/>
          </w:tcPr>
          <w:p w:rsidR="00304D06" w:rsidRPr="00EA028C" w:rsidRDefault="00B1028A"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 xml:space="preserve">No. </w:t>
            </w:r>
          </w:p>
        </w:tc>
        <w:tc>
          <w:tcPr>
            <w:tcW w:w="1213" w:type="pct"/>
            <w:vMerge w:val="restart"/>
            <w:tcBorders>
              <w:top w:val="single" w:sz="4" w:space="0" w:color="000000"/>
              <w:left w:val="single" w:sz="4" w:space="0" w:color="000000"/>
            </w:tcBorders>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Targets</w:t>
            </w:r>
          </w:p>
        </w:tc>
        <w:tc>
          <w:tcPr>
            <w:tcW w:w="779" w:type="pct"/>
            <w:vMerge w:val="restart"/>
            <w:tcBorders>
              <w:top w:val="single" w:sz="4" w:space="0" w:color="000000"/>
              <w:left w:val="single" w:sz="4" w:space="0" w:color="000000"/>
            </w:tcBorders>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Unit</w:t>
            </w:r>
          </w:p>
        </w:tc>
        <w:tc>
          <w:tcPr>
            <w:tcW w:w="637" w:type="pct"/>
            <w:vMerge w:val="restart"/>
            <w:tcBorders>
              <w:top w:val="single" w:sz="4" w:space="0" w:color="000000"/>
              <w:left w:val="single" w:sz="4" w:space="0" w:color="000000"/>
            </w:tcBorders>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 xml:space="preserve">Year Plan </w:t>
            </w:r>
          </w:p>
        </w:tc>
        <w:tc>
          <w:tcPr>
            <w:tcW w:w="1293" w:type="pct"/>
            <w:gridSpan w:val="2"/>
            <w:tcBorders>
              <w:top w:val="single" w:sz="4" w:space="0" w:color="000000"/>
              <w:left w:val="single" w:sz="4" w:space="0" w:color="000000"/>
            </w:tcBorders>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Results</w:t>
            </w:r>
          </w:p>
        </w:tc>
        <w:tc>
          <w:tcPr>
            <w:tcW w:w="771" w:type="pct"/>
            <w:vMerge w:val="restart"/>
            <w:tcBorders>
              <w:top w:val="single" w:sz="4" w:space="0" w:color="000000"/>
              <w:left w:val="single" w:sz="4" w:space="0" w:color="000000"/>
              <w:right w:val="single" w:sz="4" w:space="0" w:color="000000"/>
            </w:tcBorders>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6-month Results/Year Plan</w:t>
            </w:r>
          </w:p>
        </w:tc>
      </w:tr>
      <w:tr w:rsidR="00304D06" w:rsidRPr="00EA028C" w:rsidTr="00B1028A">
        <w:tc>
          <w:tcPr>
            <w:tcW w:w="307" w:type="pct"/>
            <w:vMerge/>
            <w:tcBorders>
              <w:top w:val="single" w:sz="4" w:space="0" w:color="000000"/>
              <w:left w:val="single" w:sz="4" w:space="0" w:color="000000"/>
            </w:tcBorders>
            <w:shd w:val="clear" w:color="auto" w:fill="auto"/>
            <w:tcMar>
              <w:top w:w="0" w:type="dxa"/>
              <w:bottom w:w="0" w:type="dxa"/>
            </w:tcMar>
            <w:vAlign w:val="center"/>
          </w:tcPr>
          <w:p w:rsidR="00304D06" w:rsidRPr="00EA028C" w:rsidRDefault="00304D06" w:rsidP="00B1028A">
            <w:pPr>
              <w:pBdr>
                <w:top w:val="nil"/>
                <w:left w:val="nil"/>
                <w:bottom w:val="nil"/>
                <w:right w:val="nil"/>
                <w:between w:val="nil"/>
              </w:pBdr>
              <w:spacing w:after="120" w:line="360" w:lineRule="auto"/>
              <w:rPr>
                <w:rFonts w:ascii="Arial" w:eastAsia="Arial" w:hAnsi="Arial" w:cs="Arial"/>
                <w:color w:val="010000"/>
                <w:sz w:val="20"/>
                <w:szCs w:val="20"/>
              </w:rPr>
            </w:pPr>
          </w:p>
        </w:tc>
        <w:tc>
          <w:tcPr>
            <w:tcW w:w="1213" w:type="pct"/>
            <w:vMerge/>
            <w:tcBorders>
              <w:top w:val="single" w:sz="4" w:space="0" w:color="000000"/>
              <w:left w:val="single" w:sz="4" w:space="0" w:color="000000"/>
            </w:tcBorders>
            <w:shd w:val="clear" w:color="auto" w:fill="auto"/>
            <w:tcMar>
              <w:top w:w="0" w:type="dxa"/>
              <w:bottom w:w="0" w:type="dxa"/>
            </w:tcMar>
            <w:vAlign w:val="center"/>
          </w:tcPr>
          <w:p w:rsidR="00304D06" w:rsidRPr="00EA028C" w:rsidRDefault="00304D06" w:rsidP="00B1028A">
            <w:pPr>
              <w:pBdr>
                <w:top w:val="nil"/>
                <w:left w:val="nil"/>
                <w:bottom w:val="nil"/>
                <w:right w:val="nil"/>
                <w:between w:val="nil"/>
              </w:pBdr>
              <w:spacing w:after="120" w:line="360" w:lineRule="auto"/>
              <w:rPr>
                <w:rFonts w:ascii="Arial" w:eastAsia="Arial" w:hAnsi="Arial" w:cs="Arial"/>
                <w:color w:val="010000"/>
                <w:sz w:val="20"/>
                <w:szCs w:val="20"/>
              </w:rPr>
            </w:pPr>
          </w:p>
        </w:tc>
        <w:tc>
          <w:tcPr>
            <w:tcW w:w="779" w:type="pct"/>
            <w:vMerge/>
            <w:tcBorders>
              <w:top w:val="single" w:sz="4" w:space="0" w:color="000000"/>
              <w:left w:val="single" w:sz="4" w:space="0" w:color="000000"/>
            </w:tcBorders>
            <w:shd w:val="clear" w:color="auto" w:fill="auto"/>
            <w:tcMar>
              <w:top w:w="0" w:type="dxa"/>
              <w:bottom w:w="0" w:type="dxa"/>
            </w:tcMar>
            <w:vAlign w:val="center"/>
          </w:tcPr>
          <w:p w:rsidR="00304D06" w:rsidRPr="00EA028C" w:rsidRDefault="00304D06" w:rsidP="00B1028A">
            <w:pPr>
              <w:pBdr>
                <w:top w:val="nil"/>
                <w:left w:val="nil"/>
                <w:bottom w:val="nil"/>
                <w:right w:val="nil"/>
                <w:between w:val="nil"/>
              </w:pBdr>
              <w:spacing w:after="120" w:line="360" w:lineRule="auto"/>
              <w:rPr>
                <w:rFonts w:ascii="Arial" w:eastAsia="Arial" w:hAnsi="Arial" w:cs="Arial"/>
                <w:color w:val="010000"/>
                <w:sz w:val="20"/>
                <w:szCs w:val="20"/>
              </w:rPr>
            </w:pPr>
          </w:p>
        </w:tc>
        <w:tc>
          <w:tcPr>
            <w:tcW w:w="637" w:type="pct"/>
            <w:vMerge/>
            <w:tcBorders>
              <w:top w:val="single" w:sz="4" w:space="0" w:color="000000"/>
              <w:left w:val="single" w:sz="4" w:space="0" w:color="000000"/>
            </w:tcBorders>
            <w:shd w:val="clear" w:color="auto" w:fill="auto"/>
            <w:tcMar>
              <w:top w:w="0" w:type="dxa"/>
              <w:bottom w:w="0" w:type="dxa"/>
            </w:tcMar>
            <w:vAlign w:val="center"/>
          </w:tcPr>
          <w:p w:rsidR="00304D06" w:rsidRPr="00EA028C" w:rsidRDefault="00304D06" w:rsidP="00B1028A">
            <w:pPr>
              <w:pBdr>
                <w:top w:val="nil"/>
                <w:left w:val="nil"/>
                <w:bottom w:val="nil"/>
                <w:right w:val="nil"/>
                <w:between w:val="nil"/>
              </w:pBdr>
              <w:spacing w:after="120" w:line="360" w:lineRule="auto"/>
              <w:rPr>
                <w:rFonts w:ascii="Arial" w:eastAsia="Arial" w:hAnsi="Arial" w:cs="Arial"/>
                <w:color w:val="010000"/>
                <w:sz w:val="20"/>
                <w:szCs w:val="20"/>
              </w:rPr>
            </w:pPr>
          </w:p>
        </w:tc>
        <w:tc>
          <w:tcPr>
            <w:tcW w:w="644" w:type="pct"/>
            <w:tcBorders>
              <w:top w:val="single" w:sz="4" w:space="0" w:color="000000"/>
              <w:left w:val="single" w:sz="4" w:space="0" w:color="000000"/>
            </w:tcBorders>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Q2</w:t>
            </w:r>
          </w:p>
        </w:tc>
        <w:tc>
          <w:tcPr>
            <w:tcW w:w="649" w:type="pct"/>
            <w:tcBorders>
              <w:top w:val="single" w:sz="4" w:space="0" w:color="000000"/>
              <w:left w:val="single" w:sz="4" w:space="0" w:color="000000"/>
            </w:tcBorders>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In the first 6 months</w:t>
            </w:r>
          </w:p>
        </w:tc>
        <w:tc>
          <w:tcPr>
            <w:tcW w:w="771" w:type="pct"/>
            <w:vMerge/>
            <w:tcBorders>
              <w:top w:val="single" w:sz="4" w:space="0" w:color="000000"/>
              <w:left w:val="single" w:sz="4" w:space="0" w:color="000000"/>
              <w:right w:val="single" w:sz="4" w:space="0" w:color="000000"/>
            </w:tcBorders>
            <w:shd w:val="clear" w:color="auto" w:fill="auto"/>
            <w:tcMar>
              <w:top w:w="0" w:type="dxa"/>
              <w:bottom w:w="0" w:type="dxa"/>
            </w:tcMar>
            <w:vAlign w:val="center"/>
          </w:tcPr>
          <w:p w:rsidR="00304D06" w:rsidRPr="00EA028C" w:rsidRDefault="00304D06" w:rsidP="00B1028A">
            <w:pPr>
              <w:pBdr>
                <w:top w:val="nil"/>
                <w:left w:val="nil"/>
                <w:bottom w:val="nil"/>
                <w:right w:val="nil"/>
                <w:between w:val="nil"/>
              </w:pBdr>
              <w:spacing w:after="120" w:line="360" w:lineRule="auto"/>
              <w:rPr>
                <w:rFonts w:ascii="Arial" w:eastAsia="Arial" w:hAnsi="Arial" w:cs="Arial"/>
                <w:color w:val="010000"/>
                <w:sz w:val="20"/>
                <w:szCs w:val="20"/>
              </w:rPr>
            </w:pPr>
          </w:p>
        </w:tc>
      </w:tr>
      <w:tr w:rsidR="00304D06" w:rsidRPr="00EA028C" w:rsidTr="00B1028A">
        <w:tc>
          <w:tcPr>
            <w:tcW w:w="307" w:type="pct"/>
            <w:tcBorders>
              <w:top w:val="single" w:sz="4" w:space="0" w:color="000000"/>
              <w:left w:val="single" w:sz="4" w:space="0" w:color="000000"/>
            </w:tcBorders>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1</w:t>
            </w:r>
          </w:p>
        </w:tc>
        <w:tc>
          <w:tcPr>
            <w:tcW w:w="1213" w:type="pct"/>
            <w:tcBorders>
              <w:top w:val="single" w:sz="4" w:space="0" w:color="000000"/>
              <w:left w:val="single" w:sz="4" w:space="0" w:color="000000"/>
            </w:tcBorders>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Revenue</w:t>
            </w:r>
          </w:p>
        </w:tc>
        <w:tc>
          <w:tcPr>
            <w:tcW w:w="779" w:type="pct"/>
            <w:tcBorders>
              <w:top w:val="single" w:sz="4" w:space="0" w:color="000000"/>
              <w:left w:val="single" w:sz="4" w:space="0" w:color="000000"/>
            </w:tcBorders>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Million VND</w:t>
            </w:r>
          </w:p>
        </w:tc>
        <w:tc>
          <w:tcPr>
            <w:tcW w:w="637" w:type="pct"/>
            <w:tcBorders>
              <w:top w:val="single" w:sz="4" w:space="0" w:color="000000"/>
              <w:left w:val="single" w:sz="4" w:space="0" w:color="000000"/>
            </w:tcBorders>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300,000</w:t>
            </w:r>
          </w:p>
        </w:tc>
        <w:tc>
          <w:tcPr>
            <w:tcW w:w="644" w:type="pct"/>
            <w:tcBorders>
              <w:top w:val="single" w:sz="4" w:space="0" w:color="000000"/>
              <w:left w:val="single" w:sz="4" w:space="0" w:color="000000"/>
            </w:tcBorders>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89,935</w:t>
            </w:r>
          </w:p>
        </w:tc>
        <w:tc>
          <w:tcPr>
            <w:tcW w:w="649" w:type="pct"/>
            <w:tcBorders>
              <w:top w:val="single" w:sz="4" w:space="0" w:color="000000"/>
              <w:left w:val="single" w:sz="4" w:space="0" w:color="000000"/>
            </w:tcBorders>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181,664</w:t>
            </w:r>
          </w:p>
        </w:tc>
        <w:tc>
          <w:tcPr>
            <w:tcW w:w="77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60.6%</w:t>
            </w:r>
          </w:p>
        </w:tc>
      </w:tr>
      <w:tr w:rsidR="00304D06" w:rsidRPr="00EA028C" w:rsidTr="00B1028A">
        <w:tc>
          <w:tcPr>
            <w:tcW w:w="307" w:type="pct"/>
            <w:tcBorders>
              <w:top w:val="single" w:sz="4" w:space="0" w:color="000000"/>
              <w:left w:val="single" w:sz="4" w:space="0" w:color="000000"/>
            </w:tcBorders>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2</w:t>
            </w:r>
          </w:p>
        </w:tc>
        <w:tc>
          <w:tcPr>
            <w:tcW w:w="1213" w:type="pct"/>
            <w:tcBorders>
              <w:top w:val="single" w:sz="4" w:space="0" w:color="000000"/>
              <w:left w:val="single" w:sz="4" w:space="0" w:color="000000"/>
            </w:tcBorders>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Profit after tax</w:t>
            </w:r>
          </w:p>
        </w:tc>
        <w:tc>
          <w:tcPr>
            <w:tcW w:w="779" w:type="pct"/>
            <w:tcBorders>
              <w:top w:val="single" w:sz="4" w:space="0" w:color="000000"/>
              <w:left w:val="single" w:sz="4" w:space="0" w:color="000000"/>
            </w:tcBorders>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Million VND</w:t>
            </w:r>
          </w:p>
        </w:tc>
        <w:tc>
          <w:tcPr>
            <w:tcW w:w="637" w:type="pct"/>
            <w:tcBorders>
              <w:top w:val="single" w:sz="4" w:space="0" w:color="000000"/>
              <w:left w:val="single" w:sz="4" w:space="0" w:color="000000"/>
            </w:tcBorders>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5,000</w:t>
            </w:r>
          </w:p>
        </w:tc>
        <w:tc>
          <w:tcPr>
            <w:tcW w:w="644" w:type="pct"/>
            <w:tcBorders>
              <w:top w:val="single" w:sz="4" w:space="0" w:color="000000"/>
              <w:left w:val="single" w:sz="4" w:space="0" w:color="000000"/>
            </w:tcBorders>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9,387</w:t>
            </w:r>
          </w:p>
        </w:tc>
        <w:tc>
          <w:tcPr>
            <w:tcW w:w="649" w:type="pct"/>
            <w:tcBorders>
              <w:top w:val="single" w:sz="4" w:space="0" w:color="000000"/>
              <w:left w:val="single" w:sz="4" w:space="0" w:color="000000"/>
            </w:tcBorders>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6,128</w:t>
            </w:r>
          </w:p>
        </w:tc>
        <w:tc>
          <w:tcPr>
            <w:tcW w:w="77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122.6%</w:t>
            </w:r>
          </w:p>
        </w:tc>
      </w:tr>
      <w:tr w:rsidR="00304D06" w:rsidRPr="00EA028C" w:rsidTr="00B1028A">
        <w:tc>
          <w:tcPr>
            <w:tcW w:w="307"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3</w:t>
            </w:r>
          </w:p>
        </w:tc>
        <w:tc>
          <w:tcPr>
            <w:tcW w:w="121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lang w:val="vi-VN"/>
              </w:rPr>
            </w:pPr>
            <w:r w:rsidRPr="00EA028C">
              <w:rPr>
                <w:rFonts w:ascii="Arial" w:hAnsi="Arial" w:cs="Arial"/>
                <w:color w:val="010000"/>
                <w:sz w:val="20"/>
              </w:rPr>
              <w:t>Average Income</w:t>
            </w:r>
            <w:r w:rsidR="00B1028A" w:rsidRPr="00EA028C">
              <w:rPr>
                <w:rFonts w:ascii="Arial" w:hAnsi="Arial" w:cs="Arial"/>
                <w:color w:val="010000"/>
                <w:sz w:val="20"/>
                <w:lang w:val="vi-VN"/>
              </w:rPr>
              <w:t xml:space="preserve"> of employee</w:t>
            </w:r>
          </w:p>
        </w:tc>
        <w:tc>
          <w:tcPr>
            <w:tcW w:w="779"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VND/person/month</w:t>
            </w:r>
          </w:p>
        </w:tc>
        <w:tc>
          <w:tcPr>
            <w:tcW w:w="637"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9,000</w:t>
            </w:r>
          </w:p>
        </w:tc>
        <w:tc>
          <w:tcPr>
            <w:tcW w:w="64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9,354</w:t>
            </w:r>
          </w:p>
        </w:tc>
        <w:tc>
          <w:tcPr>
            <w:tcW w:w="649"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9,150</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101.7%</w:t>
            </w:r>
          </w:p>
        </w:tc>
      </w:tr>
    </w:tbl>
    <w:p w:rsidR="00304D06" w:rsidRPr="00EA028C" w:rsidRDefault="00EA028C" w:rsidP="00B1028A">
      <w:pPr>
        <w:pBdr>
          <w:top w:val="nil"/>
          <w:left w:val="nil"/>
          <w:bottom w:val="nil"/>
          <w:right w:val="nil"/>
          <w:between w:val="nil"/>
        </w:pBdr>
        <w:tabs>
          <w:tab w:val="left" w:pos="432"/>
          <w:tab w:val="right" w:pos="10550"/>
        </w:tabs>
        <w:spacing w:after="120" w:line="360" w:lineRule="auto"/>
        <w:rPr>
          <w:rFonts w:ascii="Arial" w:eastAsia="Arial" w:hAnsi="Arial" w:cs="Arial"/>
          <w:color w:val="010000"/>
          <w:sz w:val="20"/>
          <w:szCs w:val="20"/>
        </w:rPr>
      </w:pPr>
      <w:r w:rsidRPr="00EA028C">
        <w:rPr>
          <w:rFonts w:ascii="Arial" w:hAnsi="Arial" w:cs="Arial"/>
          <w:color w:val="010000"/>
          <w:sz w:val="20"/>
        </w:rPr>
        <w:t>Article 2: Approve the production and business plan in Q3/2024.</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92"/>
        <w:gridCol w:w="3044"/>
        <w:gridCol w:w="1942"/>
        <w:gridCol w:w="1544"/>
        <w:gridCol w:w="1695"/>
      </w:tblGrid>
      <w:tr w:rsidR="00304D06" w:rsidRPr="00EA028C" w:rsidTr="00B1028A">
        <w:tc>
          <w:tcPr>
            <w:tcW w:w="439" w:type="pct"/>
            <w:shd w:val="clear" w:color="auto" w:fill="auto"/>
            <w:tcMar>
              <w:top w:w="0" w:type="dxa"/>
              <w:bottom w:w="0" w:type="dxa"/>
            </w:tcMar>
            <w:vAlign w:val="center"/>
          </w:tcPr>
          <w:p w:rsidR="00304D06" w:rsidRPr="00EA028C" w:rsidRDefault="00B1028A"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 xml:space="preserve">No. </w:t>
            </w:r>
          </w:p>
        </w:tc>
        <w:tc>
          <w:tcPr>
            <w:tcW w:w="1688" w:type="pct"/>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Targets</w:t>
            </w:r>
          </w:p>
        </w:tc>
        <w:tc>
          <w:tcPr>
            <w:tcW w:w="1077" w:type="pct"/>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Unit</w:t>
            </w:r>
          </w:p>
        </w:tc>
        <w:tc>
          <w:tcPr>
            <w:tcW w:w="856" w:type="pct"/>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Plan</w:t>
            </w:r>
          </w:p>
        </w:tc>
        <w:tc>
          <w:tcPr>
            <w:tcW w:w="940" w:type="pct"/>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Note</w:t>
            </w:r>
          </w:p>
        </w:tc>
      </w:tr>
      <w:tr w:rsidR="00304D06" w:rsidRPr="00EA028C" w:rsidTr="00B1028A">
        <w:tc>
          <w:tcPr>
            <w:tcW w:w="439" w:type="pct"/>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1</w:t>
            </w:r>
          </w:p>
        </w:tc>
        <w:tc>
          <w:tcPr>
            <w:tcW w:w="1688" w:type="pct"/>
            <w:shd w:val="clear" w:color="auto" w:fill="auto"/>
            <w:tcMar>
              <w:top w:w="0" w:type="dxa"/>
              <w:bottom w:w="0" w:type="dxa"/>
            </w:tcMar>
            <w:vAlign w:val="center"/>
          </w:tcPr>
          <w:p w:rsidR="00304D06" w:rsidRPr="00EA028C" w:rsidRDefault="00B1028A"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lang w:val="vi-VN"/>
              </w:rPr>
              <w:t>Other r</w:t>
            </w:r>
            <w:r w:rsidR="00EA028C" w:rsidRPr="00EA028C">
              <w:rPr>
                <w:rFonts w:ascii="Arial" w:hAnsi="Arial" w:cs="Arial"/>
                <w:color w:val="010000"/>
                <w:sz w:val="20"/>
              </w:rPr>
              <w:t xml:space="preserve">evenue and incomes </w:t>
            </w:r>
          </w:p>
        </w:tc>
        <w:tc>
          <w:tcPr>
            <w:tcW w:w="1077" w:type="pct"/>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Million VND</w:t>
            </w:r>
          </w:p>
        </w:tc>
        <w:tc>
          <w:tcPr>
            <w:tcW w:w="856" w:type="pct"/>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90,000</w:t>
            </w:r>
          </w:p>
        </w:tc>
        <w:tc>
          <w:tcPr>
            <w:tcW w:w="940" w:type="pct"/>
            <w:shd w:val="clear" w:color="auto" w:fill="auto"/>
            <w:tcMar>
              <w:top w:w="0" w:type="dxa"/>
              <w:bottom w:w="0" w:type="dxa"/>
            </w:tcMar>
            <w:vAlign w:val="center"/>
          </w:tcPr>
          <w:p w:rsidR="00304D06" w:rsidRPr="00EA028C" w:rsidRDefault="00304D06" w:rsidP="00B1028A">
            <w:pPr>
              <w:tabs>
                <w:tab w:val="left" w:pos="432"/>
              </w:tabs>
              <w:spacing w:after="120" w:line="360" w:lineRule="auto"/>
              <w:rPr>
                <w:rFonts w:ascii="Arial" w:eastAsia="Arial" w:hAnsi="Arial" w:cs="Arial"/>
                <w:color w:val="010000"/>
                <w:sz w:val="20"/>
                <w:szCs w:val="20"/>
              </w:rPr>
            </w:pPr>
          </w:p>
        </w:tc>
      </w:tr>
      <w:tr w:rsidR="00304D06" w:rsidRPr="00EA028C" w:rsidTr="00B1028A">
        <w:tc>
          <w:tcPr>
            <w:tcW w:w="439" w:type="pct"/>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2</w:t>
            </w:r>
          </w:p>
        </w:tc>
        <w:tc>
          <w:tcPr>
            <w:tcW w:w="1688" w:type="pct"/>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Profit after tax</w:t>
            </w:r>
          </w:p>
        </w:tc>
        <w:tc>
          <w:tcPr>
            <w:tcW w:w="1077" w:type="pct"/>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Million VND</w:t>
            </w:r>
          </w:p>
        </w:tc>
        <w:tc>
          <w:tcPr>
            <w:tcW w:w="856" w:type="pct"/>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7,000</w:t>
            </w:r>
          </w:p>
        </w:tc>
        <w:tc>
          <w:tcPr>
            <w:tcW w:w="940" w:type="pct"/>
            <w:shd w:val="clear" w:color="auto" w:fill="auto"/>
            <w:tcMar>
              <w:top w:w="0" w:type="dxa"/>
              <w:bottom w:w="0" w:type="dxa"/>
            </w:tcMar>
            <w:vAlign w:val="center"/>
          </w:tcPr>
          <w:p w:rsidR="00304D06" w:rsidRPr="00EA028C" w:rsidRDefault="00304D06" w:rsidP="00B1028A">
            <w:pPr>
              <w:tabs>
                <w:tab w:val="left" w:pos="432"/>
              </w:tabs>
              <w:spacing w:after="120" w:line="360" w:lineRule="auto"/>
              <w:rPr>
                <w:rFonts w:ascii="Arial" w:eastAsia="Arial" w:hAnsi="Arial" w:cs="Arial"/>
                <w:color w:val="010000"/>
                <w:sz w:val="20"/>
                <w:szCs w:val="20"/>
              </w:rPr>
            </w:pPr>
          </w:p>
        </w:tc>
      </w:tr>
      <w:tr w:rsidR="00304D06" w:rsidRPr="00EA028C" w:rsidTr="00B1028A">
        <w:tc>
          <w:tcPr>
            <w:tcW w:w="439" w:type="pct"/>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3</w:t>
            </w:r>
          </w:p>
        </w:tc>
        <w:tc>
          <w:tcPr>
            <w:tcW w:w="1688" w:type="pct"/>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lang w:val="vi-VN"/>
              </w:rPr>
            </w:pPr>
            <w:r w:rsidRPr="00EA028C">
              <w:rPr>
                <w:rFonts w:ascii="Arial" w:hAnsi="Arial" w:cs="Arial"/>
                <w:color w:val="010000"/>
                <w:sz w:val="20"/>
              </w:rPr>
              <w:t>Average Income</w:t>
            </w:r>
            <w:r w:rsidR="00B1028A" w:rsidRPr="00EA028C">
              <w:rPr>
                <w:rFonts w:ascii="Arial" w:hAnsi="Arial" w:cs="Arial"/>
                <w:color w:val="010000"/>
                <w:sz w:val="20"/>
                <w:lang w:val="vi-VN"/>
              </w:rPr>
              <w:t xml:space="preserve"> of employee</w:t>
            </w:r>
          </w:p>
        </w:tc>
        <w:tc>
          <w:tcPr>
            <w:tcW w:w="1077" w:type="pct"/>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VND/person/month</w:t>
            </w:r>
          </w:p>
        </w:tc>
        <w:tc>
          <w:tcPr>
            <w:tcW w:w="856" w:type="pct"/>
            <w:shd w:val="clear" w:color="auto" w:fill="auto"/>
            <w:tcMar>
              <w:top w:w="0" w:type="dxa"/>
              <w:bottom w:w="0" w:type="dxa"/>
            </w:tcMar>
            <w:vAlign w:val="center"/>
          </w:tcPr>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9,500</w:t>
            </w:r>
          </w:p>
        </w:tc>
        <w:tc>
          <w:tcPr>
            <w:tcW w:w="940" w:type="pct"/>
            <w:shd w:val="clear" w:color="auto" w:fill="auto"/>
            <w:tcMar>
              <w:top w:w="0" w:type="dxa"/>
              <w:bottom w:w="0" w:type="dxa"/>
            </w:tcMar>
            <w:vAlign w:val="center"/>
          </w:tcPr>
          <w:p w:rsidR="00304D06" w:rsidRPr="00EA028C" w:rsidRDefault="00304D06" w:rsidP="00B1028A">
            <w:pPr>
              <w:pBdr>
                <w:top w:val="nil"/>
                <w:left w:val="nil"/>
                <w:bottom w:val="nil"/>
                <w:right w:val="nil"/>
                <w:between w:val="nil"/>
              </w:pBdr>
              <w:tabs>
                <w:tab w:val="left" w:pos="432"/>
                <w:tab w:val="left" w:pos="1541"/>
                <w:tab w:val="left" w:pos="1570"/>
              </w:tabs>
              <w:spacing w:after="120" w:line="360" w:lineRule="auto"/>
              <w:rPr>
                <w:rFonts w:ascii="Arial" w:eastAsia="Arial" w:hAnsi="Arial" w:cs="Arial"/>
                <w:color w:val="010000"/>
                <w:sz w:val="20"/>
                <w:szCs w:val="20"/>
              </w:rPr>
            </w:pPr>
          </w:p>
        </w:tc>
      </w:tr>
    </w:tbl>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 xml:space="preserve">Article 3. Approve the policy of upgrading and improving breeds according to Proposal </w:t>
      </w:r>
      <w:r w:rsidR="00B1028A" w:rsidRPr="00EA028C">
        <w:rPr>
          <w:rFonts w:ascii="Arial" w:hAnsi="Arial" w:cs="Arial"/>
          <w:color w:val="010000"/>
          <w:sz w:val="20"/>
        </w:rPr>
        <w:t xml:space="preserve">No. </w:t>
      </w:r>
      <w:r w:rsidRPr="00EA028C">
        <w:rPr>
          <w:rFonts w:ascii="Arial" w:hAnsi="Arial" w:cs="Arial"/>
          <w:color w:val="010000"/>
          <w:sz w:val="20"/>
        </w:rPr>
        <w:t>98/TTr-CTCN, dated July 26, 2024</w:t>
      </w:r>
      <w:r w:rsidR="00B1028A" w:rsidRPr="00EA028C">
        <w:rPr>
          <w:rFonts w:ascii="Arial" w:hAnsi="Arial" w:cs="Arial"/>
          <w:color w:val="010000"/>
          <w:sz w:val="20"/>
        </w:rPr>
        <w:t>,</w:t>
      </w:r>
      <w:r w:rsidRPr="00EA028C">
        <w:rPr>
          <w:rFonts w:ascii="Arial" w:hAnsi="Arial" w:cs="Arial"/>
          <w:color w:val="010000"/>
          <w:sz w:val="20"/>
        </w:rPr>
        <w:t xml:space="preserve"> of the Company's Executive Board. Assign the Executive Board to report to the Board of Directors to </w:t>
      </w:r>
      <w:r w:rsidR="00B1028A" w:rsidRPr="00EA028C">
        <w:rPr>
          <w:rFonts w:ascii="Arial" w:hAnsi="Arial" w:cs="Arial"/>
          <w:color w:val="010000"/>
          <w:sz w:val="20"/>
        </w:rPr>
        <w:t>research</w:t>
      </w:r>
      <w:r w:rsidRPr="00EA028C">
        <w:rPr>
          <w:rFonts w:ascii="Arial" w:hAnsi="Arial" w:cs="Arial"/>
          <w:color w:val="010000"/>
          <w:sz w:val="20"/>
        </w:rPr>
        <w:t xml:space="preserve"> breeds that are suitable for the Company's production conditions.</w:t>
      </w:r>
    </w:p>
    <w:p w:rsidR="00304D06" w:rsidRPr="00EA028C" w:rsidRDefault="00EA028C" w:rsidP="00B1028A">
      <w:pPr>
        <w:pBdr>
          <w:top w:val="nil"/>
          <w:left w:val="nil"/>
          <w:bottom w:val="nil"/>
          <w:right w:val="nil"/>
          <w:between w:val="nil"/>
        </w:pBdr>
        <w:tabs>
          <w:tab w:val="left" w:pos="432"/>
          <w:tab w:val="left" w:pos="6915"/>
        </w:tabs>
        <w:spacing w:after="120" w:line="360" w:lineRule="auto"/>
        <w:rPr>
          <w:rFonts w:ascii="Arial" w:eastAsia="Arial" w:hAnsi="Arial" w:cs="Arial"/>
          <w:color w:val="010000"/>
          <w:sz w:val="20"/>
          <w:szCs w:val="20"/>
        </w:rPr>
      </w:pPr>
      <w:r w:rsidRPr="00EA028C">
        <w:rPr>
          <w:rFonts w:ascii="Arial" w:hAnsi="Arial" w:cs="Arial"/>
          <w:color w:val="010000"/>
          <w:sz w:val="20"/>
        </w:rPr>
        <w:t xml:space="preserve">Article 4. Agree on the policies: </w:t>
      </w:r>
    </w:p>
    <w:p w:rsidR="00304D06" w:rsidRPr="00EA028C" w:rsidRDefault="00EA028C" w:rsidP="00B1028A">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EA028C">
        <w:rPr>
          <w:rFonts w:ascii="Arial" w:hAnsi="Arial" w:cs="Arial"/>
          <w:color w:val="010000"/>
          <w:sz w:val="20"/>
        </w:rPr>
        <w:t>Dismiss Mr. Ho Van Hung from the position of the Head of the Satellite Management Department, only holding the position of the Company’s Deputy Technical Manager, and at the same time appoint a new Head of the Satellite Management Department.</w:t>
      </w:r>
    </w:p>
    <w:p w:rsidR="00304D06" w:rsidRPr="00EA028C" w:rsidRDefault="00EA028C" w:rsidP="00B1028A">
      <w:pPr>
        <w:numPr>
          <w:ilvl w:val="0"/>
          <w:numId w:val="1"/>
        </w:numPr>
        <w:pBdr>
          <w:top w:val="nil"/>
          <w:left w:val="nil"/>
          <w:bottom w:val="nil"/>
          <w:right w:val="nil"/>
          <w:between w:val="nil"/>
        </w:pBdr>
        <w:tabs>
          <w:tab w:val="left" w:pos="432"/>
          <w:tab w:val="left" w:pos="7186"/>
          <w:tab w:val="left" w:pos="8266"/>
        </w:tabs>
        <w:spacing w:after="120" w:line="360" w:lineRule="auto"/>
        <w:ind w:left="0" w:firstLine="0"/>
        <w:rPr>
          <w:rFonts w:ascii="Arial" w:eastAsia="Arial" w:hAnsi="Arial" w:cs="Arial"/>
          <w:color w:val="010000"/>
          <w:sz w:val="20"/>
          <w:szCs w:val="20"/>
        </w:rPr>
      </w:pPr>
      <w:r w:rsidRPr="00EA028C">
        <w:rPr>
          <w:rFonts w:ascii="Arial" w:hAnsi="Arial" w:cs="Arial"/>
          <w:color w:val="010000"/>
          <w:sz w:val="20"/>
        </w:rPr>
        <w:t xml:space="preserve">Re-appointment of positions: The Head of </w:t>
      </w:r>
      <w:r w:rsidR="00B1028A" w:rsidRPr="00EA028C">
        <w:rPr>
          <w:rFonts w:ascii="Arial" w:hAnsi="Arial" w:cs="Arial"/>
          <w:color w:val="010000"/>
          <w:sz w:val="20"/>
        </w:rPr>
        <w:t xml:space="preserve">the </w:t>
      </w:r>
      <w:r w:rsidR="00B1028A" w:rsidRPr="00EA028C">
        <w:rPr>
          <w:rFonts w:ascii="Arial" w:hAnsi="Arial" w:cs="Arial"/>
          <w:color w:val="010000"/>
          <w:sz w:val="20"/>
          <w:lang w:val="vi-VN"/>
        </w:rPr>
        <w:t>D</w:t>
      </w:r>
      <w:r w:rsidRPr="00EA028C">
        <w:rPr>
          <w:rFonts w:ascii="Arial" w:hAnsi="Arial" w:cs="Arial"/>
          <w:color w:val="010000"/>
          <w:sz w:val="20"/>
        </w:rPr>
        <w:t xml:space="preserve">epartment and the Manager </w:t>
      </w:r>
      <w:r w:rsidR="00B1028A" w:rsidRPr="00EA028C">
        <w:rPr>
          <w:rFonts w:ascii="Arial" w:hAnsi="Arial" w:cs="Arial"/>
          <w:color w:val="010000"/>
          <w:sz w:val="20"/>
          <w:lang w:val="vi-VN"/>
        </w:rPr>
        <w:t xml:space="preserve">of the Center </w:t>
      </w:r>
      <w:r w:rsidRPr="00EA028C">
        <w:rPr>
          <w:rFonts w:ascii="Arial" w:hAnsi="Arial" w:cs="Arial"/>
          <w:color w:val="010000"/>
          <w:sz w:val="20"/>
        </w:rPr>
        <w:t xml:space="preserve">under the authority of the Board of Directors have expired their appointment term according to Proposal </w:t>
      </w:r>
      <w:r w:rsidR="00B1028A" w:rsidRPr="00EA028C">
        <w:rPr>
          <w:rFonts w:ascii="Arial" w:hAnsi="Arial" w:cs="Arial"/>
          <w:color w:val="010000"/>
          <w:sz w:val="20"/>
        </w:rPr>
        <w:t>No.:</w:t>
      </w:r>
      <w:r w:rsidRPr="00EA028C">
        <w:rPr>
          <w:rFonts w:ascii="Arial" w:hAnsi="Arial" w:cs="Arial"/>
          <w:color w:val="010000"/>
          <w:sz w:val="20"/>
        </w:rPr>
        <w:t xml:space="preserve"> 94A/T</w:t>
      </w:r>
      <w:r w:rsidR="00B1028A" w:rsidRPr="00EA028C">
        <w:rPr>
          <w:rFonts w:ascii="Arial" w:hAnsi="Arial" w:cs="Arial"/>
          <w:color w:val="010000"/>
          <w:sz w:val="20"/>
          <w:lang w:val="vi-VN"/>
        </w:rPr>
        <w:t>.</w:t>
      </w:r>
      <w:r w:rsidRPr="00EA028C">
        <w:rPr>
          <w:rFonts w:ascii="Arial" w:hAnsi="Arial" w:cs="Arial"/>
          <w:color w:val="010000"/>
          <w:sz w:val="20"/>
        </w:rPr>
        <w:t>Tr-CT dated July 19, 2024</w:t>
      </w:r>
      <w:r w:rsidR="00B1028A" w:rsidRPr="00EA028C">
        <w:rPr>
          <w:rFonts w:ascii="Arial" w:hAnsi="Arial" w:cs="Arial"/>
          <w:color w:val="010000"/>
          <w:sz w:val="20"/>
        </w:rPr>
        <w:t>,</w:t>
      </w:r>
      <w:r w:rsidRPr="00EA028C">
        <w:rPr>
          <w:rFonts w:ascii="Arial" w:hAnsi="Arial" w:cs="Arial"/>
          <w:color w:val="010000"/>
          <w:sz w:val="20"/>
        </w:rPr>
        <w:t xml:space="preserve"> of the Company's Executive Board on the proposal to reappoint the Company's management positions.</w:t>
      </w:r>
    </w:p>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 xml:space="preserve">Assign the Company's Executive Board to </w:t>
      </w:r>
      <w:r w:rsidR="00B1028A" w:rsidRPr="00EA028C">
        <w:rPr>
          <w:rFonts w:ascii="Arial" w:hAnsi="Arial" w:cs="Arial"/>
          <w:color w:val="010000"/>
          <w:sz w:val="20"/>
          <w:lang w:val="vi-VN"/>
        </w:rPr>
        <w:t>implement</w:t>
      </w:r>
      <w:r w:rsidRPr="00EA028C">
        <w:rPr>
          <w:rFonts w:ascii="Arial" w:hAnsi="Arial" w:cs="Arial"/>
          <w:color w:val="010000"/>
          <w:sz w:val="20"/>
        </w:rPr>
        <w:t xml:space="preserve"> the procedures and submit them to the Company's Board of Directors for decision.</w:t>
      </w:r>
    </w:p>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 xml:space="preserve">Article 5. Assign the Company’s Executive Board: </w:t>
      </w:r>
    </w:p>
    <w:p w:rsidR="00304D06" w:rsidRPr="00EA028C" w:rsidRDefault="00EA028C" w:rsidP="00B1028A">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EA028C">
        <w:rPr>
          <w:rFonts w:ascii="Arial" w:hAnsi="Arial" w:cs="Arial"/>
          <w:color w:val="010000"/>
          <w:sz w:val="20"/>
        </w:rPr>
        <w:t xml:space="preserve">Repair work: Review asset items that need to be repaired according to the production and </w:t>
      </w:r>
      <w:r w:rsidRPr="00EA028C">
        <w:rPr>
          <w:rFonts w:ascii="Arial" w:hAnsi="Arial" w:cs="Arial"/>
          <w:color w:val="010000"/>
          <w:sz w:val="20"/>
        </w:rPr>
        <w:lastRenderedPageBreak/>
        <w:t xml:space="preserve">business plan 2024 approved by the Annual General Meeting of Shareholders 2024 and other necessary items, </w:t>
      </w:r>
      <w:r w:rsidR="00B1028A" w:rsidRPr="00EA028C">
        <w:rPr>
          <w:rFonts w:ascii="Arial" w:hAnsi="Arial" w:cs="Arial"/>
          <w:color w:val="010000"/>
          <w:sz w:val="20"/>
        </w:rPr>
        <w:t xml:space="preserve">and </w:t>
      </w:r>
      <w:r w:rsidRPr="00EA028C">
        <w:rPr>
          <w:rFonts w:ascii="Arial" w:hAnsi="Arial" w:cs="Arial"/>
          <w:color w:val="010000"/>
          <w:sz w:val="20"/>
        </w:rPr>
        <w:t xml:space="preserve">balance the funding source to </w:t>
      </w:r>
      <w:r w:rsidR="00B1028A" w:rsidRPr="00EA028C">
        <w:rPr>
          <w:rFonts w:ascii="Arial" w:hAnsi="Arial" w:cs="Arial"/>
          <w:color w:val="010000"/>
          <w:sz w:val="20"/>
          <w:lang w:val="vi-VN"/>
        </w:rPr>
        <w:t>implement</w:t>
      </w:r>
      <w:r w:rsidRPr="00EA028C">
        <w:rPr>
          <w:rFonts w:ascii="Arial" w:hAnsi="Arial" w:cs="Arial"/>
          <w:color w:val="010000"/>
          <w:sz w:val="20"/>
        </w:rPr>
        <w:t xml:space="preserve"> the repairs to serve production activities to ensure requirements.</w:t>
      </w:r>
    </w:p>
    <w:p w:rsidR="00304D06" w:rsidRPr="00EA028C" w:rsidRDefault="00EA028C" w:rsidP="00B1028A">
      <w:pPr>
        <w:numPr>
          <w:ilvl w:val="0"/>
          <w:numId w:val="3"/>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EA028C">
        <w:rPr>
          <w:rFonts w:ascii="Arial" w:hAnsi="Arial" w:cs="Arial"/>
          <w:color w:val="010000"/>
          <w:sz w:val="20"/>
        </w:rPr>
        <w:t xml:space="preserve">Labor work: Develop policies and regimes to retain, attract and recruit </w:t>
      </w:r>
      <w:r w:rsidR="00B1028A" w:rsidRPr="00EA028C">
        <w:rPr>
          <w:rFonts w:ascii="Arial" w:hAnsi="Arial" w:cs="Arial"/>
          <w:color w:val="010000"/>
          <w:sz w:val="20"/>
          <w:lang w:val="vi-VN"/>
        </w:rPr>
        <w:t>employees</w:t>
      </w:r>
      <w:r w:rsidRPr="00EA028C">
        <w:rPr>
          <w:rFonts w:ascii="Arial" w:hAnsi="Arial" w:cs="Arial"/>
          <w:color w:val="010000"/>
          <w:sz w:val="20"/>
        </w:rPr>
        <w:t>.</w:t>
      </w:r>
    </w:p>
    <w:p w:rsidR="00304D06" w:rsidRPr="00EA028C" w:rsidRDefault="00EA028C" w:rsidP="00B1028A">
      <w:pPr>
        <w:numPr>
          <w:ilvl w:val="0"/>
          <w:numId w:val="3"/>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EA028C">
        <w:rPr>
          <w:rFonts w:ascii="Arial" w:hAnsi="Arial" w:cs="Arial"/>
          <w:color w:val="010000"/>
          <w:sz w:val="20"/>
        </w:rPr>
        <w:t>Environmental work:</w:t>
      </w:r>
      <w:r w:rsidR="00B1028A" w:rsidRPr="00EA028C">
        <w:rPr>
          <w:rFonts w:ascii="Arial" w:hAnsi="Arial" w:cs="Arial"/>
          <w:color w:val="010000"/>
          <w:sz w:val="20"/>
        </w:rPr>
        <w:t xml:space="preserve"> </w:t>
      </w:r>
      <w:r w:rsidRPr="00EA028C">
        <w:rPr>
          <w:rFonts w:ascii="Arial" w:hAnsi="Arial" w:cs="Arial"/>
          <w:color w:val="010000"/>
          <w:sz w:val="20"/>
        </w:rPr>
        <w:t>The Executive Board fully and seriously implements the licensed contents. Research and study the environmental treatment technology for additional investment at 2 production centers.</w:t>
      </w:r>
    </w:p>
    <w:p w:rsidR="00304D06" w:rsidRPr="00EA028C" w:rsidRDefault="00EA028C" w:rsidP="00B1028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A028C">
        <w:rPr>
          <w:rFonts w:ascii="Arial" w:hAnsi="Arial" w:cs="Arial"/>
          <w:color w:val="010000"/>
          <w:sz w:val="20"/>
        </w:rPr>
        <w:t>Article 6. Members of the Board of Directors, the Executive Board and relevant individuals are responsible for implementing this Resolution.</w:t>
      </w:r>
    </w:p>
    <w:sectPr w:rsidR="00304D06" w:rsidRPr="00EA028C" w:rsidSect="00B1028A">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C60F62"/>
    <w:multiLevelType w:val="multilevel"/>
    <w:tmpl w:val="B4C4701E"/>
    <w:lvl w:ilvl="0">
      <w:start w:val="1"/>
      <w:numFmt w:val="bullet"/>
      <w:lvlText w:val="+"/>
      <w:lvlJc w:val="left"/>
      <w:pPr>
        <w:ind w:left="720" w:hanging="360"/>
      </w:pPr>
      <w:rPr>
        <w:rFonts w:ascii="Noto Sans Symbols" w:eastAsia="Noto Sans Symbols" w:hAnsi="Noto Sans Symbols" w:cs="Noto Sans Symbols"/>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DE55FCD"/>
    <w:multiLevelType w:val="multilevel"/>
    <w:tmpl w:val="EBDE4B56"/>
    <w:lvl w:ilvl="0">
      <w:start w:val="1"/>
      <w:numFmt w:val="bullet"/>
      <w:lvlText w:val="+"/>
      <w:lvlJc w:val="left"/>
      <w:pPr>
        <w:ind w:left="720" w:hanging="360"/>
      </w:pPr>
      <w:rPr>
        <w:rFonts w:ascii="Noto Sans Symbols" w:eastAsia="Noto Sans Symbols" w:hAnsi="Noto Sans Symbols" w:cs="Noto Sans Symbols"/>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23C5F16"/>
    <w:multiLevelType w:val="multilevel"/>
    <w:tmpl w:val="573E731C"/>
    <w:lvl w:ilvl="0">
      <w:start w:val="1"/>
      <w:numFmt w:val="bullet"/>
      <w:lvlText w:val="+"/>
      <w:lvlJc w:val="left"/>
      <w:pPr>
        <w:ind w:left="720" w:hanging="360"/>
      </w:pPr>
      <w:rPr>
        <w:rFonts w:ascii="Noto Sans Symbols" w:eastAsia="Noto Sans Symbols" w:hAnsi="Noto Sans Symbols" w:cs="Noto Sans Symbols"/>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D06"/>
    <w:rsid w:val="00304D06"/>
    <w:rsid w:val="007B0D76"/>
    <w:rsid w:val="00B1028A"/>
    <w:rsid w:val="00EA0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30A267-D3B4-46E1-BD56-09B31559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8"/>
      <w:szCs w:val="8"/>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color w:val="1E1C20"/>
      <w:sz w:val="22"/>
      <w:szCs w:val="22"/>
      <w:u w:val="none"/>
      <w:shd w:val="clear" w:color="auto" w:fill="auto"/>
    </w:rPr>
  </w:style>
  <w:style w:type="paragraph" w:customStyle="1" w:styleId="Vnbnnidung20">
    <w:name w:val="Văn bản nội dung (2)"/>
    <w:basedOn w:val="Normal"/>
    <w:link w:val="Vnbnnidung2"/>
    <w:pPr>
      <w:ind w:left="2760"/>
    </w:pPr>
    <w:rPr>
      <w:rFonts w:ascii="Arial" w:eastAsia="Arial" w:hAnsi="Arial" w:cs="Arial"/>
      <w:sz w:val="8"/>
      <w:szCs w:val="8"/>
    </w:rPr>
  </w:style>
  <w:style w:type="paragraph" w:customStyle="1" w:styleId="Vnbnnidung0">
    <w:name w:val="Văn bản nội dung"/>
    <w:basedOn w:val="Normal"/>
    <w:link w:val="Vnbnnidung"/>
    <w:pPr>
      <w:spacing w:line="278" w:lineRule="auto"/>
      <w:ind w:firstLine="400"/>
    </w:pPr>
    <w:rPr>
      <w:rFonts w:ascii="Times New Roman" w:eastAsia="Times New Roman" w:hAnsi="Times New Roman" w:cs="Times New Roman"/>
      <w:sz w:val="26"/>
      <w:szCs w:val="26"/>
    </w:rPr>
  </w:style>
  <w:style w:type="paragraph" w:customStyle="1" w:styleId="Chthchbng0">
    <w:name w:val="Chú thích bảng"/>
    <w:basedOn w:val="Normal"/>
    <w:link w:val="Chthchbng"/>
    <w:pPr>
      <w:spacing w:line="228" w:lineRule="auto"/>
      <w:jc w:val="right"/>
    </w:pPr>
    <w:rPr>
      <w:rFonts w:ascii="Times New Roman" w:eastAsia="Times New Roman" w:hAnsi="Times New Roman" w:cs="Times New Roman"/>
      <w:sz w:val="26"/>
      <w:szCs w:val="26"/>
    </w:rPr>
  </w:style>
  <w:style w:type="paragraph" w:customStyle="1" w:styleId="Khc0">
    <w:name w:val="Khác"/>
    <w:basedOn w:val="Normal"/>
    <w:link w:val="Khc"/>
    <w:pPr>
      <w:spacing w:line="278" w:lineRule="auto"/>
      <w:ind w:firstLine="400"/>
    </w:pPr>
    <w:rPr>
      <w:rFonts w:ascii="Times New Roman" w:eastAsia="Times New Roman" w:hAnsi="Times New Roman" w:cs="Times New Roman"/>
      <w:sz w:val="26"/>
      <w:szCs w:val="26"/>
    </w:rPr>
  </w:style>
  <w:style w:type="paragraph" w:customStyle="1" w:styleId="Vnbnnidung30">
    <w:name w:val="Văn bản nội dung (3)"/>
    <w:basedOn w:val="Normal"/>
    <w:link w:val="Vnbnnidung3"/>
    <w:rPr>
      <w:rFonts w:ascii="Times New Roman" w:eastAsia="Times New Roman" w:hAnsi="Times New Roman" w:cs="Times New Roman"/>
      <w:color w:val="1E1C20"/>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j7DLSnnlZEEcgeRJztuIW4M3Tw==">CgMxLjA4AHIhMWFab2tFdGZoZEdqaXZUenV0NVpCeVdOZnZWNEhrWXhr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2024-08-08T02:16:00Z</dcterms:created>
  <dcterms:modified xsi:type="dcterms:W3CDTF">2024-08-08T02:16:00Z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4a447384697ae7a9a9319a3aac976900bdc6afbe3402a11ccf1bf7358d09640a</vt:lpwstr>
  </property>
</Properties>
</file>