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661" w:rsidRPr="00CF58C2" w:rsidRDefault="00CF58C2" w:rsidP="008B78E5">
      <w:pPr>
        <w:widowControl/>
        <w:pBdr>
          <w:top w:val="nil"/>
          <w:left w:val="nil"/>
          <w:bottom w:val="nil"/>
          <w:right w:val="nil"/>
          <w:between w:val="nil"/>
        </w:pBdr>
        <w:tabs>
          <w:tab w:val="left" w:pos="360"/>
        </w:tabs>
        <w:spacing w:after="120" w:line="360" w:lineRule="auto"/>
        <w:jc w:val="both"/>
        <w:rPr>
          <w:rFonts w:ascii="Arial" w:eastAsia="Arial" w:hAnsi="Arial" w:cs="Arial"/>
          <w:b/>
          <w:color w:val="010000"/>
          <w:sz w:val="20"/>
          <w:szCs w:val="20"/>
        </w:rPr>
      </w:pPr>
      <w:r w:rsidRPr="00CF58C2">
        <w:rPr>
          <w:rFonts w:ascii="Arial" w:hAnsi="Arial" w:cs="Arial"/>
          <w:b/>
          <w:color w:val="010000"/>
          <w:sz w:val="20"/>
        </w:rPr>
        <w:t>VIT: Board Resolution</w:t>
      </w:r>
    </w:p>
    <w:p w:rsidR="00894661" w:rsidRPr="00CF58C2" w:rsidRDefault="00CF58C2" w:rsidP="008B78E5">
      <w:pPr>
        <w:widowControl/>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CF58C2">
        <w:rPr>
          <w:rFonts w:ascii="Arial" w:hAnsi="Arial" w:cs="Arial"/>
          <w:color w:val="010000"/>
          <w:sz w:val="20"/>
        </w:rPr>
        <w:t xml:space="preserve">On August 5, 2024, </w:t>
      </w:r>
      <w:proofErr w:type="spellStart"/>
      <w:r w:rsidRPr="00CF58C2">
        <w:rPr>
          <w:rFonts w:ascii="Arial" w:hAnsi="Arial" w:cs="Arial"/>
          <w:color w:val="010000"/>
          <w:sz w:val="20"/>
        </w:rPr>
        <w:t>Viglacera</w:t>
      </w:r>
      <w:proofErr w:type="spellEnd"/>
      <w:r w:rsidRPr="00CF58C2">
        <w:rPr>
          <w:rFonts w:ascii="Arial" w:hAnsi="Arial" w:cs="Arial"/>
          <w:color w:val="010000"/>
          <w:sz w:val="20"/>
        </w:rPr>
        <w:t xml:space="preserve"> Tien Son JSC announced Resolution No. 28/VIT-HDQT on approving the production and business activities results of Q2/2024 and the production and</w:t>
      </w:r>
      <w:r w:rsidR="00E47C87" w:rsidRPr="00CF58C2">
        <w:rPr>
          <w:rFonts w:ascii="Arial" w:hAnsi="Arial" w:cs="Arial"/>
          <w:color w:val="010000"/>
          <w:sz w:val="20"/>
        </w:rPr>
        <w:t xml:space="preserve"> </w:t>
      </w:r>
      <w:r w:rsidRPr="00CF58C2">
        <w:rPr>
          <w:rFonts w:ascii="Arial" w:hAnsi="Arial" w:cs="Arial"/>
          <w:color w:val="010000"/>
          <w:sz w:val="20"/>
        </w:rPr>
        <w:t>business plan for Q3/ 2024 as follows:</w:t>
      </w:r>
    </w:p>
    <w:p w:rsidR="00894661" w:rsidRPr="00CF58C2" w:rsidRDefault="00CF58C2" w:rsidP="008B78E5">
      <w:pPr>
        <w:numPr>
          <w:ilvl w:val="0"/>
          <w:numId w:val="2"/>
        </w:numPr>
        <w:pBdr>
          <w:top w:val="nil"/>
          <w:left w:val="nil"/>
          <w:bottom w:val="nil"/>
          <w:right w:val="nil"/>
          <w:between w:val="nil"/>
        </w:pBdr>
        <w:tabs>
          <w:tab w:val="left" w:pos="360"/>
          <w:tab w:val="left" w:pos="869"/>
        </w:tabs>
        <w:spacing w:after="120" w:line="360" w:lineRule="auto"/>
        <w:jc w:val="both"/>
        <w:rPr>
          <w:rFonts w:ascii="Arial" w:eastAsia="Arial" w:hAnsi="Arial" w:cs="Arial"/>
          <w:color w:val="010000"/>
          <w:sz w:val="20"/>
          <w:szCs w:val="20"/>
        </w:rPr>
      </w:pPr>
      <w:r w:rsidRPr="00CF58C2">
        <w:rPr>
          <w:rFonts w:ascii="Arial" w:hAnsi="Arial" w:cs="Arial"/>
          <w:color w:val="010000"/>
          <w:sz w:val="20"/>
        </w:rPr>
        <w:t>Approve the production and business targets in Q2/2024 as follows:</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45"/>
        <w:gridCol w:w="1721"/>
        <w:gridCol w:w="817"/>
        <w:gridCol w:w="813"/>
        <w:gridCol w:w="817"/>
        <w:gridCol w:w="817"/>
        <w:gridCol w:w="1143"/>
        <w:gridCol w:w="1143"/>
      </w:tblGrid>
      <w:tr w:rsidR="00E47C87" w:rsidRPr="00CF58C2" w:rsidTr="00CF58C2">
        <w:tc>
          <w:tcPr>
            <w:tcW w:w="968" w:type="pct"/>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Targets</w:t>
            </w:r>
          </w:p>
        </w:tc>
        <w:tc>
          <w:tcPr>
            <w:tcW w:w="954" w:type="pct"/>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Unit</w:t>
            </w:r>
          </w:p>
        </w:tc>
        <w:tc>
          <w:tcPr>
            <w:tcW w:w="453" w:type="pct"/>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Plan Q2/2024</w:t>
            </w:r>
          </w:p>
        </w:tc>
        <w:tc>
          <w:tcPr>
            <w:tcW w:w="451" w:type="pct"/>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Results Q2/2024</w:t>
            </w:r>
          </w:p>
        </w:tc>
        <w:tc>
          <w:tcPr>
            <w:tcW w:w="453" w:type="pct"/>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6-Month Plan</w:t>
            </w:r>
          </w:p>
        </w:tc>
        <w:tc>
          <w:tcPr>
            <w:tcW w:w="453" w:type="pct"/>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 xml:space="preserve">6-Month </w:t>
            </w:r>
            <w:r w:rsidRPr="00CF58C2">
              <w:rPr>
                <w:rFonts w:ascii="Arial" w:hAnsi="Arial" w:cs="Arial"/>
                <w:color w:val="010000"/>
                <w:sz w:val="20"/>
                <w:lang w:val="vi-VN"/>
              </w:rPr>
              <w:t>R</w:t>
            </w:r>
            <w:proofErr w:type="spellStart"/>
            <w:r w:rsidRPr="00CF58C2">
              <w:rPr>
                <w:rFonts w:ascii="Arial" w:hAnsi="Arial" w:cs="Arial"/>
                <w:color w:val="010000"/>
                <w:sz w:val="20"/>
              </w:rPr>
              <w:t>esults</w:t>
            </w:r>
            <w:proofErr w:type="spellEnd"/>
          </w:p>
        </w:tc>
        <w:tc>
          <w:tcPr>
            <w:tcW w:w="634" w:type="pct"/>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Results/Plan Q2 (%)</w:t>
            </w:r>
          </w:p>
        </w:tc>
        <w:tc>
          <w:tcPr>
            <w:tcW w:w="634" w:type="pct"/>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 xml:space="preserve">Results/Plan </w:t>
            </w:r>
            <w:r w:rsidR="00E47C87" w:rsidRPr="00CF58C2">
              <w:rPr>
                <w:rFonts w:ascii="Arial" w:hAnsi="Arial" w:cs="Arial"/>
                <w:color w:val="010000"/>
                <w:sz w:val="20"/>
              </w:rPr>
              <w:t>1H</w:t>
            </w:r>
            <w:r w:rsidRPr="00CF58C2">
              <w:rPr>
                <w:rFonts w:ascii="Arial" w:hAnsi="Arial" w:cs="Arial"/>
                <w:color w:val="010000"/>
                <w:sz w:val="20"/>
              </w:rPr>
              <w:t xml:space="preserve"> (%)</w:t>
            </w:r>
          </w:p>
        </w:tc>
      </w:tr>
      <w:tr w:rsidR="00E47C87" w:rsidRPr="00CF58C2" w:rsidTr="00CF58C2">
        <w:tc>
          <w:tcPr>
            <w:tcW w:w="968" w:type="pct"/>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Net revenue</w:t>
            </w:r>
          </w:p>
        </w:tc>
        <w:tc>
          <w:tcPr>
            <w:tcW w:w="954" w:type="pct"/>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Million VND</w:t>
            </w:r>
          </w:p>
        </w:tc>
        <w:tc>
          <w:tcPr>
            <w:tcW w:w="453" w:type="pct"/>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552,565</w:t>
            </w:r>
          </w:p>
        </w:tc>
        <w:tc>
          <w:tcPr>
            <w:tcW w:w="451" w:type="pct"/>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505,368</w:t>
            </w:r>
          </w:p>
        </w:tc>
        <w:tc>
          <w:tcPr>
            <w:tcW w:w="453" w:type="pct"/>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895,171</w:t>
            </w:r>
          </w:p>
        </w:tc>
        <w:tc>
          <w:tcPr>
            <w:tcW w:w="453" w:type="pct"/>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884,334</w:t>
            </w:r>
          </w:p>
        </w:tc>
        <w:tc>
          <w:tcPr>
            <w:tcW w:w="634" w:type="pct"/>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91%</w:t>
            </w:r>
          </w:p>
        </w:tc>
        <w:tc>
          <w:tcPr>
            <w:tcW w:w="634" w:type="pct"/>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99%</w:t>
            </w:r>
          </w:p>
        </w:tc>
      </w:tr>
      <w:tr w:rsidR="00E47C87" w:rsidRPr="00CF58C2" w:rsidTr="00CF58C2">
        <w:tc>
          <w:tcPr>
            <w:tcW w:w="968" w:type="pct"/>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Profit before tax</w:t>
            </w:r>
          </w:p>
        </w:tc>
        <w:tc>
          <w:tcPr>
            <w:tcW w:w="954" w:type="pct"/>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Million VND</w:t>
            </w:r>
          </w:p>
        </w:tc>
        <w:tc>
          <w:tcPr>
            <w:tcW w:w="453" w:type="pct"/>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15,376</w:t>
            </w:r>
          </w:p>
        </w:tc>
        <w:tc>
          <w:tcPr>
            <w:tcW w:w="451" w:type="pct"/>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20,333</w:t>
            </w:r>
          </w:p>
        </w:tc>
        <w:tc>
          <w:tcPr>
            <w:tcW w:w="453" w:type="pct"/>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-38,028</w:t>
            </w:r>
          </w:p>
        </w:tc>
        <w:tc>
          <w:tcPr>
            <w:tcW w:w="453" w:type="pct"/>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-11,954</w:t>
            </w:r>
          </w:p>
        </w:tc>
        <w:tc>
          <w:tcPr>
            <w:tcW w:w="634" w:type="pct"/>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132%</w:t>
            </w:r>
          </w:p>
        </w:tc>
        <w:tc>
          <w:tcPr>
            <w:tcW w:w="634" w:type="pct"/>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31%</w:t>
            </w:r>
          </w:p>
        </w:tc>
      </w:tr>
      <w:tr w:rsidR="00E47C87" w:rsidRPr="00CF58C2" w:rsidTr="00CF58C2">
        <w:tc>
          <w:tcPr>
            <w:tcW w:w="968" w:type="pct"/>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Depreciation of fixed assets</w:t>
            </w:r>
          </w:p>
        </w:tc>
        <w:tc>
          <w:tcPr>
            <w:tcW w:w="954" w:type="pct"/>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Million VND</w:t>
            </w:r>
          </w:p>
        </w:tc>
        <w:tc>
          <w:tcPr>
            <w:tcW w:w="453" w:type="pct"/>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42,750</w:t>
            </w:r>
          </w:p>
        </w:tc>
        <w:tc>
          <w:tcPr>
            <w:tcW w:w="451" w:type="pct"/>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41,405</w:t>
            </w:r>
          </w:p>
        </w:tc>
        <w:tc>
          <w:tcPr>
            <w:tcW w:w="453" w:type="pct"/>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84,895</w:t>
            </w:r>
          </w:p>
        </w:tc>
        <w:tc>
          <w:tcPr>
            <w:tcW w:w="453" w:type="pct"/>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83,963</w:t>
            </w:r>
          </w:p>
        </w:tc>
        <w:tc>
          <w:tcPr>
            <w:tcW w:w="634" w:type="pct"/>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97%</w:t>
            </w:r>
          </w:p>
        </w:tc>
        <w:tc>
          <w:tcPr>
            <w:tcW w:w="634" w:type="pct"/>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99%</w:t>
            </w:r>
          </w:p>
        </w:tc>
      </w:tr>
      <w:tr w:rsidR="00E47C87" w:rsidRPr="00CF58C2" w:rsidTr="00CF58C2">
        <w:tc>
          <w:tcPr>
            <w:tcW w:w="968" w:type="pct"/>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Average income</w:t>
            </w:r>
          </w:p>
        </w:tc>
        <w:tc>
          <w:tcPr>
            <w:tcW w:w="954" w:type="pct"/>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Million VND/person/month</w:t>
            </w:r>
          </w:p>
        </w:tc>
        <w:tc>
          <w:tcPr>
            <w:tcW w:w="453" w:type="pct"/>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14.0</w:t>
            </w:r>
          </w:p>
        </w:tc>
        <w:tc>
          <w:tcPr>
            <w:tcW w:w="451" w:type="pct"/>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14.2</w:t>
            </w:r>
          </w:p>
        </w:tc>
        <w:tc>
          <w:tcPr>
            <w:tcW w:w="453" w:type="pct"/>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14.0</w:t>
            </w:r>
          </w:p>
        </w:tc>
        <w:tc>
          <w:tcPr>
            <w:tcW w:w="453" w:type="pct"/>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14.0</w:t>
            </w:r>
          </w:p>
        </w:tc>
        <w:tc>
          <w:tcPr>
            <w:tcW w:w="634" w:type="pct"/>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101%</w:t>
            </w:r>
          </w:p>
        </w:tc>
        <w:tc>
          <w:tcPr>
            <w:tcW w:w="634" w:type="pct"/>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100%</w:t>
            </w:r>
          </w:p>
        </w:tc>
      </w:tr>
    </w:tbl>
    <w:p w:rsidR="00894661" w:rsidRPr="00CF58C2" w:rsidRDefault="00CF58C2" w:rsidP="008B78E5">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CF58C2">
        <w:rPr>
          <w:rFonts w:ascii="Arial" w:hAnsi="Arial" w:cs="Arial"/>
          <w:color w:val="010000"/>
          <w:sz w:val="20"/>
        </w:rPr>
        <w:t>Evaluation of production and business results in Q2/2024 and the first 6 months of 2024:</w:t>
      </w:r>
    </w:p>
    <w:p w:rsidR="00894661" w:rsidRPr="00CF58C2" w:rsidRDefault="00CF58C2" w:rsidP="008B78E5">
      <w:pPr>
        <w:keepNext/>
        <w:numPr>
          <w:ilvl w:val="1"/>
          <w:numId w:val="2"/>
        </w:numPr>
        <w:pBdr>
          <w:top w:val="nil"/>
          <w:left w:val="nil"/>
          <w:bottom w:val="nil"/>
          <w:right w:val="nil"/>
          <w:between w:val="nil"/>
        </w:pBdr>
        <w:tabs>
          <w:tab w:val="left" w:pos="360"/>
          <w:tab w:val="left" w:pos="1056"/>
        </w:tabs>
        <w:spacing w:after="120" w:line="360" w:lineRule="auto"/>
        <w:jc w:val="both"/>
        <w:rPr>
          <w:rFonts w:ascii="Arial" w:eastAsia="Arial" w:hAnsi="Arial" w:cs="Arial"/>
          <w:color w:val="010000"/>
          <w:sz w:val="20"/>
          <w:szCs w:val="20"/>
        </w:rPr>
      </w:pPr>
      <w:r w:rsidRPr="00CF58C2">
        <w:rPr>
          <w:rFonts w:ascii="Arial" w:hAnsi="Arial" w:cs="Arial"/>
          <w:color w:val="010000"/>
          <w:sz w:val="20"/>
        </w:rPr>
        <w:t xml:space="preserve">On the business: </w:t>
      </w:r>
    </w:p>
    <w:p w:rsidR="00894661" w:rsidRPr="00CF58C2" w:rsidRDefault="00CF58C2" w:rsidP="008B78E5">
      <w:pPr>
        <w:numPr>
          <w:ilvl w:val="0"/>
          <w:numId w:val="1"/>
        </w:numPr>
        <w:pBdr>
          <w:top w:val="nil"/>
          <w:left w:val="nil"/>
          <w:bottom w:val="nil"/>
          <w:right w:val="nil"/>
          <w:between w:val="nil"/>
        </w:pBdr>
        <w:tabs>
          <w:tab w:val="left" w:pos="360"/>
          <w:tab w:val="left" w:pos="807"/>
        </w:tabs>
        <w:spacing w:after="120" w:line="360" w:lineRule="auto"/>
        <w:jc w:val="both"/>
        <w:rPr>
          <w:rFonts w:ascii="Arial" w:eastAsia="Arial" w:hAnsi="Arial" w:cs="Arial"/>
          <w:color w:val="010000"/>
          <w:sz w:val="20"/>
          <w:szCs w:val="20"/>
        </w:rPr>
      </w:pPr>
      <w:r w:rsidRPr="00CF58C2">
        <w:rPr>
          <w:rFonts w:ascii="Arial" w:hAnsi="Arial" w:cs="Arial"/>
          <w:color w:val="010000"/>
          <w:sz w:val="20"/>
        </w:rPr>
        <w:t>Net revenue of Q2/2024:</w:t>
      </w:r>
      <w:r w:rsidR="00E47C87" w:rsidRPr="00CF58C2">
        <w:rPr>
          <w:rFonts w:ascii="Arial" w:hAnsi="Arial" w:cs="Arial"/>
          <w:color w:val="010000"/>
          <w:sz w:val="20"/>
        </w:rPr>
        <w:t xml:space="preserve"> </w:t>
      </w:r>
      <w:r w:rsidRPr="00CF58C2">
        <w:rPr>
          <w:rFonts w:ascii="Arial" w:hAnsi="Arial" w:cs="Arial"/>
          <w:color w:val="010000"/>
          <w:sz w:val="20"/>
        </w:rPr>
        <w:t xml:space="preserve">VND505,368 million, accounting for 91% of the plan, </w:t>
      </w:r>
    </w:p>
    <w:p w:rsidR="00894661" w:rsidRPr="00CF58C2" w:rsidRDefault="00CF58C2" w:rsidP="008B78E5">
      <w:pPr>
        <w:pBdr>
          <w:top w:val="nil"/>
          <w:left w:val="nil"/>
          <w:bottom w:val="nil"/>
          <w:right w:val="nil"/>
          <w:between w:val="nil"/>
        </w:pBdr>
        <w:tabs>
          <w:tab w:val="left" w:pos="360"/>
          <w:tab w:val="left" w:pos="807"/>
        </w:tabs>
        <w:spacing w:after="120" w:line="360" w:lineRule="auto"/>
        <w:jc w:val="both"/>
        <w:rPr>
          <w:rFonts w:ascii="Arial" w:eastAsia="Arial" w:hAnsi="Arial" w:cs="Arial"/>
          <w:color w:val="010000"/>
          <w:sz w:val="20"/>
          <w:szCs w:val="20"/>
        </w:rPr>
      </w:pPr>
      <w:r w:rsidRPr="00CF58C2">
        <w:rPr>
          <w:rFonts w:ascii="Arial" w:hAnsi="Arial" w:cs="Arial"/>
          <w:color w:val="010000"/>
          <w:sz w:val="20"/>
        </w:rPr>
        <w:t>Revenue of the first 6 months of 2024:</w:t>
      </w:r>
      <w:r w:rsidR="00E47C87" w:rsidRPr="00CF58C2">
        <w:rPr>
          <w:rFonts w:ascii="Arial" w:hAnsi="Arial" w:cs="Arial"/>
          <w:color w:val="010000"/>
          <w:sz w:val="20"/>
        </w:rPr>
        <w:t xml:space="preserve"> </w:t>
      </w:r>
      <w:r w:rsidRPr="00CF58C2">
        <w:rPr>
          <w:rFonts w:ascii="Arial" w:hAnsi="Arial" w:cs="Arial"/>
          <w:color w:val="010000"/>
          <w:sz w:val="20"/>
        </w:rPr>
        <w:t>VND884,334 million, accounting for 99% of the plan.</w:t>
      </w:r>
    </w:p>
    <w:p w:rsidR="00894661" w:rsidRPr="00CF58C2" w:rsidRDefault="00CF58C2" w:rsidP="008B78E5">
      <w:pPr>
        <w:numPr>
          <w:ilvl w:val="0"/>
          <w:numId w:val="1"/>
        </w:numPr>
        <w:pBdr>
          <w:top w:val="nil"/>
          <w:left w:val="nil"/>
          <w:bottom w:val="nil"/>
          <w:right w:val="nil"/>
          <w:between w:val="nil"/>
        </w:pBdr>
        <w:tabs>
          <w:tab w:val="left" w:pos="360"/>
          <w:tab w:val="left" w:pos="797"/>
        </w:tabs>
        <w:spacing w:after="120" w:line="360" w:lineRule="auto"/>
        <w:jc w:val="both"/>
        <w:rPr>
          <w:rFonts w:ascii="Arial" w:eastAsia="Arial" w:hAnsi="Arial" w:cs="Arial"/>
          <w:color w:val="010000"/>
          <w:sz w:val="20"/>
          <w:szCs w:val="20"/>
        </w:rPr>
      </w:pPr>
      <w:r w:rsidRPr="00CF58C2">
        <w:rPr>
          <w:rFonts w:ascii="Arial" w:hAnsi="Arial" w:cs="Arial"/>
          <w:color w:val="010000"/>
          <w:sz w:val="20"/>
        </w:rPr>
        <w:t>Export revenue of Q2/2024: USD4.6 million, the first 6 months of the year: USD8.4 million</w:t>
      </w:r>
    </w:p>
    <w:p w:rsidR="00894661" w:rsidRPr="00CF58C2" w:rsidRDefault="00CF58C2" w:rsidP="008B78E5">
      <w:pPr>
        <w:keepNext/>
        <w:numPr>
          <w:ilvl w:val="1"/>
          <w:numId w:val="2"/>
        </w:numPr>
        <w:pBdr>
          <w:top w:val="nil"/>
          <w:left w:val="nil"/>
          <w:bottom w:val="nil"/>
          <w:right w:val="nil"/>
          <w:between w:val="nil"/>
        </w:pBdr>
        <w:tabs>
          <w:tab w:val="left" w:pos="360"/>
          <w:tab w:val="left" w:pos="1061"/>
        </w:tabs>
        <w:spacing w:after="120" w:line="360" w:lineRule="auto"/>
        <w:jc w:val="both"/>
        <w:rPr>
          <w:rFonts w:ascii="Arial" w:eastAsia="Arial" w:hAnsi="Arial" w:cs="Arial"/>
          <w:color w:val="010000"/>
          <w:sz w:val="20"/>
          <w:szCs w:val="20"/>
        </w:rPr>
      </w:pPr>
      <w:r w:rsidRPr="00CF58C2">
        <w:rPr>
          <w:rFonts w:ascii="Arial" w:hAnsi="Arial" w:cs="Arial"/>
          <w:color w:val="010000"/>
          <w:sz w:val="20"/>
        </w:rPr>
        <w:t xml:space="preserve">On the finance: </w:t>
      </w:r>
    </w:p>
    <w:p w:rsidR="00894661" w:rsidRPr="00CF58C2" w:rsidRDefault="00CF58C2" w:rsidP="008B78E5">
      <w:pPr>
        <w:numPr>
          <w:ilvl w:val="0"/>
          <w:numId w:val="1"/>
        </w:numPr>
        <w:pBdr>
          <w:top w:val="nil"/>
          <w:left w:val="nil"/>
          <w:bottom w:val="nil"/>
          <w:right w:val="nil"/>
          <w:between w:val="nil"/>
        </w:pBdr>
        <w:tabs>
          <w:tab w:val="left" w:pos="360"/>
          <w:tab w:val="left" w:pos="812"/>
        </w:tabs>
        <w:spacing w:after="120" w:line="360" w:lineRule="auto"/>
        <w:jc w:val="both"/>
        <w:rPr>
          <w:rFonts w:ascii="Arial" w:eastAsia="Arial" w:hAnsi="Arial" w:cs="Arial"/>
          <w:color w:val="010000"/>
          <w:sz w:val="20"/>
          <w:szCs w:val="20"/>
        </w:rPr>
      </w:pPr>
      <w:r w:rsidRPr="00CF58C2">
        <w:rPr>
          <w:rFonts w:ascii="Arial" w:hAnsi="Arial" w:cs="Arial"/>
          <w:color w:val="010000"/>
          <w:sz w:val="20"/>
        </w:rPr>
        <w:t>Profit before tax targets: Q2/2024</w:t>
      </w:r>
      <w:r w:rsidR="00E47C87" w:rsidRPr="00CF58C2">
        <w:rPr>
          <w:rFonts w:ascii="Arial" w:hAnsi="Arial" w:cs="Arial"/>
          <w:color w:val="010000"/>
          <w:sz w:val="20"/>
        </w:rPr>
        <w:t>:</w:t>
      </w:r>
      <w:r w:rsidRPr="00CF58C2">
        <w:rPr>
          <w:rFonts w:ascii="Arial" w:hAnsi="Arial" w:cs="Arial"/>
          <w:color w:val="010000"/>
          <w:sz w:val="20"/>
        </w:rPr>
        <w:t xml:space="preserve"> VND20,333 million; </w:t>
      </w:r>
    </w:p>
    <w:p w:rsidR="00894661" w:rsidRPr="00CF58C2" w:rsidRDefault="00CF58C2" w:rsidP="008B78E5">
      <w:pPr>
        <w:pBdr>
          <w:top w:val="nil"/>
          <w:left w:val="nil"/>
          <w:bottom w:val="nil"/>
          <w:right w:val="nil"/>
          <w:between w:val="nil"/>
        </w:pBdr>
        <w:tabs>
          <w:tab w:val="left" w:pos="360"/>
          <w:tab w:val="left" w:pos="812"/>
        </w:tabs>
        <w:spacing w:after="120" w:line="360" w:lineRule="auto"/>
        <w:jc w:val="both"/>
        <w:rPr>
          <w:rFonts w:ascii="Arial" w:eastAsia="Arial" w:hAnsi="Arial" w:cs="Arial"/>
          <w:color w:val="010000"/>
          <w:sz w:val="20"/>
          <w:szCs w:val="20"/>
        </w:rPr>
      </w:pPr>
      <w:r w:rsidRPr="00CF58C2">
        <w:rPr>
          <w:rFonts w:ascii="Arial" w:hAnsi="Arial" w:cs="Arial"/>
          <w:color w:val="010000"/>
          <w:sz w:val="20"/>
        </w:rPr>
        <w:t>Profit before tax of the first 6 months of 2024</w:t>
      </w:r>
      <w:r w:rsidR="00E47C87" w:rsidRPr="00CF58C2">
        <w:rPr>
          <w:rFonts w:ascii="Arial" w:hAnsi="Arial" w:cs="Arial"/>
          <w:color w:val="010000"/>
          <w:sz w:val="20"/>
        </w:rPr>
        <w:t>:</w:t>
      </w:r>
      <w:r w:rsidRPr="00CF58C2">
        <w:rPr>
          <w:rFonts w:ascii="Arial" w:hAnsi="Arial" w:cs="Arial"/>
          <w:color w:val="010000"/>
          <w:sz w:val="20"/>
        </w:rPr>
        <w:t xml:space="preserve"> VND-11,954 million;</w:t>
      </w:r>
    </w:p>
    <w:p w:rsidR="00894661" w:rsidRPr="00CF58C2" w:rsidRDefault="00CF58C2" w:rsidP="008B78E5">
      <w:pPr>
        <w:numPr>
          <w:ilvl w:val="0"/>
          <w:numId w:val="1"/>
        </w:numPr>
        <w:pBdr>
          <w:top w:val="nil"/>
          <w:left w:val="nil"/>
          <w:bottom w:val="nil"/>
          <w:right w:val="nil"/>
          <w:between w:val="nil"/>
        </w:pBdr>
        <w:tabs>
          <w:tab w:val="left" w:pos="360"/>
          <w:tab w:val="left" w:pos="812"/>
        </w:tabs>
        <w:spacing w:after="120" w:line="360" w:lineRule="auto"/>
        <w:jc w:val="both"/>
        <w:rPr>
          <w:rFonts w:ascii="Arial" w:eastAsia="Arial" w:hAnsi="Arial" w:cs="Arial"/>
          <w:color w:val="010000"/>
          <w:sz w:val="20"/>
          <w:szCs w:val="20"/>
        </w:rPr>
      </w:pPr>
      <w:r w:rsidRPr="00CF58C2">
        <w:rPr>
          <w:rFonts w:ascii="Arial" w:hAnsi="Arial" w:cs="Arial"/>
          <w:color w:val="010000"/>
          <w:sz w:val="20"/>
        </w:rPr>
        <w:t>Depreciation of fixed assets: Q2/2024 depreciation cost: VND41,405 million; First 6 months of 6 years 83,963, accounting for 99% of the plan.</w:t>
      </w:r>
    </w:p>
    <w:p w:rsidR="00894661" w:rsidRPr="00CF58C2" w:rsidRDefault="00CF58C2" w:rsidP="008B78E5">
      <w:pPr>
        <w:keepNext/>
        <w:numPr>
          <w:ilvl w:val="1"/>
          <w:numId w:val="2"/>
        </w:numPr>
        <w:pBdr>
          <w:top w:val="nil"/>
          <w:left w:val="nil"/>
          <w:bottom w:val="nil"/>
          <w:right w:val="nil"/>
          <w:between w:val="nil"/>
        </w:pBdr>
        <w:tabs>
          <w:tab w:val="left" w:pos="360"/>
          <w:tab w:val="left" w:pos="1061"/>
        </w:tabs>
        <w:spacing w:after="120" w:line="360" w:lineRule="auto"/>
        <w:jc w:val="both"/>
        <w:rPr>
          <w:rFonts w:ascii="Arial" w:eastAsia="Arial" w:hAnsi="Arial" w:cs="Arial"/>
          <w:color w:val="010000"/>
          <w:sz w:val="20"/>
          <w:szCs w:val="20"/>
        </w:rPr>
      </w:pPr>
      <w:r w:rsidRPr="00CF58C2">
        <w:rPr>
          <w:rFonts w:ascii="Arial" w:hAnsi="Arial" w:cs="Arial"/>
          <w:color w:val="010000"/>
          <w:sz w:val="20"/>
        </w:rPr>
        <w:t xml:space="preserve">On the production: </w:t>
      </w:r>
    </w:p>
    <w:p w:rsidR="00894661" w:rsidRPr="00CF58C2" w:rsidRDefault="00CF58C2" w:rsidP="008B78E5">
      <w:pPr>
        <w:numPr>
          <w:ilvl w:val="0"/>
          <w:numId w:val="1"/>
        </w:numPr>
        <w:pBdr>
          <w:top w:val="nil"/>
          <w:left w:val="nil"/>
          <w:bottom w:val="nil"/>
          <w:right w:val="nil"/>
          <w:between w:val="nil"/>
        </w:pBdr>
        <w:tabs>
          <w:tab w:val="left" w:pos="360"/>
          <w:tab w:val="left" w:pos="797"/>
        </w:tabs>
        <w:spacing w:after="120" w:line="360" w:lineRule="auto"/>
        <w:jc w:val="both"/>
        <w:rPr>
          <w:rFonts w:ascii="Arial" w:eastAsia="Arial" w:hAnsi="Arial" w:cs="Arial"/>
          <w:color w:val="010000"/>
          <w:sz w:val="20"/>
          <w:szCs w:val="20"/>
        </w:rPr>
      </w:pPr>
      <w:r w:rsidRPr="00CF58C2">
        <w:rPr>
          <w:rFonts w:ascii="Arial" w:hAnsi="Arial" w:cs="Arial"/>
          <w:color w:val="010000"/>
          <w:sz w:val="20"/>
        </w:rPr>
        <w:t xml:space="preserve">Thai </w:t>
      </w:r>
      <w:proofErr w:type="spellStart"/>
      <w:r w:rsidRPr="00CF58C2">
        <w:rPr>
          <w:rFonts w:ascii="Arial" w:hAnsi="Arial" w:cs="Arial"/>
          <w:color w:val="010000"/>
          <w:sz w:val="20"/>
        </w:rPr>
        <w:t>Binh</w:t>
      </w:r>
      <w:proofErr w:type="spellEnd"/>
      <w:r w:rsidRPr="00CF58C2">
        <w:rPr>
          <w:rFonts w:ascii="Arial" w:hAnsi="Arial" w:cs="Arial"/>
          <w:color w:val="010000"/>
          <w:sz w:val="20"/>
        </w:rPr>
        <w:t xml:space="preserve"> and My Duc factories maintain</w:t>
      </w:r>
      <w:r w:rsidR="00E47C87" w:rsidRPr="00CF58C2">
        <w:rPr>
          <w:rFonts w:ascii="Arial" w:hAnsi="Arial" w:cs="Arial"/>
          <w:color w:val="010000"/>
          <w:sz w:val="20"/>
        </w:rPr>
        <w:t>ed</w:t>
      </w:r>
      <w:r w:rsidR="008B78E5">
        <w:rPr>
          <w:rFonts w:ascii="Arial" w:hAnsi="Arial" w:cs="Arial"/>
          <w:color w:val="010000"/>
          <w:sz w:val="20"/>
        </w:rPr>
        <w:t xml:space="preserve"> 100%-</w:t>
      </w:r>
      <w:r w:rsidRPr="00CF58C2">
        <w:rPr>
          <w:rFonts w:ascii="Arial" w:hAnsi="Arial" w:cs="Arial"/>
          <w:color w:val="010000"/>
          <w:sz w:val="20"/>
        </w:rPr>
        <w:t xml:space="preserve">capacity operation. </w:t>
      </w:r>
    </w:p>
    <w:p w:rsidR="00894661" w:rsidRPr="00CF58C2" w:rsidRDefault="00CF58C2" w:rsidP="008B78E5">
      <w:pPr>
        <w:numPr>
          <w:ilvl w:val="0"/>
          <w:numId w:val="1"/>
        </w:numPr>
        <w:pBdr>
          <w:top w:val="nil"/>
          <w:left w:val="nil"/>
          <w:bottom w:val="nil"/>
          <w:right w:val="nil"/>
          <w:between w:val="nil"/>
        </w:pBdr>
        <w:tabs>
          <w:tab w:val="left" w:pos="360"/>
          <w:tab w:val="left" w:pos="797"/>
        </w:tabs>
        <w:spacing w:after="120" w:line="360" w:lineRule="auto"/>
        <w:jc w:val="both"/>
        <w:rPr>
          <w:rFonts w:ascii="Arial" w:eastAsia="Arial" w:hAnsi="Arial" w:cs="Arial"/>
          <w:color w:val="010000"/>
          <w:sz w:val="20"/>
          <w:szCs w:val="20"/>
        </w:rPr>
      </w:pPr>
      <w:proofErr w:type="spellStart"/>
      <w:r w:rsidRPr="00CF58C2">
        <w:rPr>
          <w:rFonts w:ascii="Arial" w:hAnsi="Arial" w:cs="Arial"/>
          <w:color w:val="010000"/>
          <w:sz w:val="20"/>
        </w:rPr>
        <w:t>EuroTile</w:t>
      </w:r>
      <w:proofErr w:type="spellEnd"/>
      <w:r w:rsidRPr="00CF58C2">
        <w:rPr>
          <w:rFonts w:ascii="Arial" w:hAnsi="Arial" w:cs="Arial"/>
          <w:color w:val="010000"/>
          <w:sz w:val="20"/>
        </w:rPr>
        <w:t xml:space="preserve"> Factory </w:t>
      </w:r>
      <w:bookmarkStart w:id="0" w:name="_GoBack"/>
      <w:bookmarkEnd w:id="0"/>
      <w:r w:rsidRPr="00CF58C2">
        <w:rPr>
          <w:rFonts w:ascii="Arial" w:hAnsi="Arial" w:cs="Arial"/>
          <w:color w:val="010000"/>
          <w:sz w:val="20"/>
        </w:rPr>
        <w:t>operate</w:t>
      </w:r>
      <w:r w:rsidR="00E47C87" w:rsidRPr="00CF58C2">
        <w:rPr>
          <w:rFonts w:ascii="Arial" w:hAnsi="Arial" w:cs="Arial"/>
          <w:color w:val="010000"/>
          <w:sz w:val="20"/>
        </w:rPr>
        <w:t>d</w:t>
      </w:r>
      <w:r w:rsidRPr="00CF58C2">
        <w:rPr>
          <w:rFonts w:ascii="Arial" w:hAnsi="Arial" w:cs="Arial"/>
          <w:color w:val="010000"/>
          <w:sz w:val="20"/>
        </w:rPr>
        <w:t xml:space="preserve"> at 75% capacity.</w:t>
      </w:r>
    </w:p>
    <w:p w:rsidR="00894661" w:rsidRPr="00CF58C2" w:rsidRDefault="00CF58C2" w:rsidP="008B78E5">
      <w:pPr>
        <w:numPr>
          <w:ilvl w:val="0"/>
          <w:numId w:val="1"/>
        </w:numPr>
        <w:pBdr>
          <w:top w:val="nil"/>
          <w:left w:val="nil"/>
          <w:bottom w:val="nil"/>
          <w:right w:val="nil"/>
          <w:between w:val="nil"/>
        </w:pBdr>
        <w:tabs>
          <w:tab w:val="left" w:pos="360"/>
          <w:tab w:val="left" w:pos="797"/>
        </w:tabs>
        <w:spacing w:after="120" w:line="360" w:lineRule="auto"/>
        <w:jc w:val="both"/>
        <w:rPr>
          <w:rFonts w:ascii="Arial" w:eastAsia="Arial" w:hAnsi="Arial" w:cs="Arial"/>
          <w:color w:val="010000"/>
          <w:sz w:val="20"/>
          <w:szCs w:val="20"/>
        </w:rPr>
        <w:sectPr w:rsidR="00894661" w:rsidRPr="00CF58C2" w:rsidSect="00CF58C2">
          <w:pgSz w:w="11906" w:h="16838"/>
          <w:pgMar w:top="1440" w:right="1440" w:bottom="1440" w:left="1440" w:header="0" w:footer="3" w:gutter="0"/>
          <w:pgNumType w:start="1"/>
          <w:cols w:space="720"/>
          <w:docGrid w:linePitch="326"/>
        </w:sectPr>
      </w:pPr>
      <w:r w:rsidRPr="00CF58C2">
        <w:rPr>
          <w:rFonts w:ascii="Arial" w:hAnsi="Arial" w:cs="Arial"/>
          <w:color w:val="010000"/>
          <w:sz w:val="20"/>
        </w:rPr>
        <w:t>Tien Son Factory operate</w:t>
      </w:r>
      <w:r w:rsidR="00E47C87" w:rsidRPr="00CF58C2">
        <w:rPr>
          <w:rFonts w:ascii="Arial" w:hAnsi="Arial" w:cs="Arial"/>
          <w:color w:val="010000"/>
          <w:sz w:val="20"/>
        </w:rPr>
        <w:t>d</w:t>
      </w:r>
      <w:r w:rsidRPr="00CF58C2">
        <w:rPr>
          <w:rFonts w:ascii="Arial" w:hAnsi="Arial" w:cs="Arial"/>
          <w:color w:val="010000"/>
          <w:sz w:val="20"/>
        </w:rPr>
        <w:t xml:space="preserve"> at 50% capacity. </w:t>
      </w:r>
    </w:p>
    <w:p w:rsidR="00894661" w:rsidRPr="00CF58C2" w:rsidRDefault="00CF58C2" w:rsidP="00CF58C2">
      <w:pPr>
        <w:keepNext/>
        <w:numPr>
          <w:ilvl w:val="0"/>
          <w:numId w:val="2"/>
        </w:numPr>
        <w:pBdr>
          <w:top w:val="nil"/>
          <w:left w:val="nil"/>
          <w:bottom w:val="nil"/>
          <w:right w:val="nil"/>
          <w:between w:val="nil"/>
        </w:pBdr>
        <w:tabs>
          <w:tab w:val="left" w:pos="360"/>
          <w:tab w:val="left" w:pos="743"/>
        </w:tabs>
        <w:spacing w:after="120" w:line="360" w:lineRule="auto"/>
        <w:rPr>
          <w:rFonts w:ascii="Arial" w:eastAsia="Arial" w:hAnsi="Arial" w:cs="Arial"/>
          <w:color w:val="010000"/>
          <w:sz w:val="20"/>
          <w:szCs w:val="20"/>
        </w:rPr>
      </w:pPr>
      <w:r w:rsidRPr="00CF58C2">
        <w:rPr>
          <w:rFonts w:ascii="Arial" w:hAnsi="Arial" w:cs="Arial"/>
          <w:color w:val="010000"/>
          <w:sz w:val="20"/>
        </w:rPr>
        <w:lastRenderedPageBreak/>
        <w:t>Production and business task orientation for Q3/2024:</w:t>
      </w:r>
    </w:p>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The Board of Directors assign</w:t>
      </w:r>
      <w:r w:rsidR="00E47C87" w:rsidRPr="00CF58C2">
        <w:rPr>
          <w:rFonts w:ascii="Arial" w:hAnsi="Arial" w:cs="Arial"/>
          <w:color w:val="010000"/>
          <w:sz w:val="20"/>
        </w:rPr>
        <w:t>ed</w:t>
      </w:r>
      <w:r w:rsidRPr="00CF58C2">
        <w:rPr>
          <w:rFonts w:ascii="Arial" w:hAnsi="Arial" w:cs="Arial"/>
          <w:color w:val="010000"/>
          <w:sz w:val="20"/>
        </w:rPr>
        <w:t xml:space="preserve"> the Executive Board the production and business plan for Q3/2024 with the following main targets:</w:t>
      </w:r>
    </w:p>
    <w:tbl>
      <w:tblPr>
        <w:tblStyle w:val="a0"/>
        <w:tblW w:w="5000" w:type="pct"/>
        <w:tblLook w:val="0400" w:firstRow="0" w:lastRow="0" w:firstColumn="0" w:lastColumn="0" w:noHBand="0" w:noVBand="1"/>
      </w:tblPr>
      <w:tblGrid>
        <w:gridCol w:w="1840"/>
        <w:gridCol w:w="1721"/>
        <w:gridCol w:w="907"/>
        <w:gridCol w:w="907"/>
        <w:gridCol w:w="907"/>
        <w:gridCol w:w="911"/>
        <w:gridCol w:w="999"/>
        <w:gridCol w:w="824"/>
      </w:tblGrid>
      <w:tr w:rsidR="00894661" w:rsidRPr="00CF58C2" w:rsidTr="00CF58C2">
        <w:tc>
          <w:tcPr>
            <w:tcW w:w="1021" w:type="pct"/>
            <w:vMerge w:val="restart"/>
            <w:tcBorders>
              <w:top w:val="single" w:sz="4" w:space="0" w:color="000000"/>
              <w:left w:val="single" w:sz="4" w:space="0" w:color="000000"/>
            </w:tcBorders>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Targets</w:t>
            </w:r>
          </w:p>
        </w:tc>
        <w:tc>
          <w:tcPr>
            <w:tcW w:w="954" w:type="pct"/>
            <w:vMerge w:val="restart"/>
            <w:tcBorders>
              <w:top w:val="single" w:sz="4" w:space="0" w:color="000000"/>
              <w:left w:val="single" w:sz="4" w:space="0" w:color="000000"/>
            </w:tcBorders>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Unit</w:t>
            </w:r>
          </w:p>
        </w:tc>
        <w:tc>
          <w:tcPr>
            <w:tcW w:w="503" w:type="pct"/>
            <w:vMerge w:val="restart"/>
            <w:tcBorders>
              <w:top w:val="single" w:sz="4" w:space="0" w:color="000000"/>
              <w:left w:val="single" w:sz="4" w:space="0" w:color="000000"/>
            </w:tcBorders>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Results Q2/2024</w:t>
            </w:r>
          </w:p>
        </w:tc>
        <w:tc>
          <w:tcPr>
            <w:tcW w:w="503" w:type="pct"/>
            <w:vMerge w:val="restart"/>
            <w:tcBorders>
              <w:top w:val="single" w:sz="4" w:space="0" w:color="000000"/>
              <w:left w:val="single" w:sz="4" w:space="0" w:color="000000"/>
            </w:tcBorders>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 xml:space="preserve">Results </w:t>
            </w:r>
            <w:r w:rsidR="00E47C87" w:rsidRPr="00CF58C2">
              <w:rPr>
                <w:rFonts w:ascii="Arial" w:hAnsi="Arial" w:cs="Arial"/>
                <w:color w:val="010000"/>
                <w:sz w:val="20"/>
              </w:rPr>
              <w:t>1H</w:t>
            </w:r>
          </w:p>
        </w:tc>
        <w:tc>
          <w:tcPr>
            <w:tcW w:w="2019" w:type="pct"/>
            <w:gridSpan w:val="4"/>
            <w:tcBorders>
              <w:top w:val="single" w:sz="4" w:space="0" w:color="000000"/>
              <w:left w:val="single" w:sz="4" w:space="0" w:color="000000"/>
              <w:right w:val="single" w:sz="4" w:space="0" w:color="000000"/>
            </w:tcBorders>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Plan Q3</w:t>
            </w:r>
          </w:p>
        </w:tc>
      </w:tr>
      <w:tr w:rsidR="00E47C87" w:rsidRPr="00CF58C2" w:rsidTr="00CF58C2">
        <w:tc>
          <w:tcPr>
            <w:tcW w:w="1021" w:type="pct"/>
            <w:vMerge/>
            <w:tcBorders>
              <w:top w:val="single" w:sz="4" w:space="0" w:color="000000"/>
              <w:left w:val="single" w:sz="4" w:space="0" w:color="000000"/>
            </w:tcBorders>
            <w:shd w:val="clear" w:color="auto" w:fill="auto"/>
            <w:tcMar>
              <w:top w:w="0" w:type="dxa"/>
              <w:bottom w:w="0" w:type="dxa"/>
            </w:tcMar>
            <w:vAlign w:val="center"/>
          </w:tcPr>
          <w:p w:rsidR="00894661" w:rsidRPr="00CF58C2" w:rsidRDefault="00894661" w:rsidP="00CF58C2">
            <w:pPr>
              <w:pBdr>
                <w:top w:val="nil"/>
                <w:left w:val="nil"/>
                <w:bottom w:val="nil"/>
                <w:right w:val="nil"/>
                <w:between w:val="nil"/>
              </w:pBdr>
              <w:spacing w:after="120" w:line="360" w:lineRule="auto"/>
              <w:rPr>
                <w:rFonts w:ascii="Arial" w:eastAsia="Arial" w:hAnsi="Arial" w:cs="Arial"/>
                <w:color w:val="010000"/>
                <w:sz w:val="20"/>
                <w:szCs w:val="20"/>
              </w:rPr>
            </w:pPr>
          </w:p>
        </w:tc>
        <w:tc>
          <w:tcPr>
            <w:tcW w:w="954" w:type="pct"/>
            <w:vMerge/>
            <w:tcBorders>
              <w:top w:val="single" w:sz="4" w:space="0" w:color="000000"/>
              <w:left w:val="single" w:sz="4" w:space="0" w:color="000000"/>
            </w:tcBorders>
            <w:shd w:val="clear" w:color="auto" w:fill="auto"/>
            <w:tcMar>
              <w:top w:w="0" w:type="dxa"/>
              <w:bottom w:w="0" w:type="dxa"/>
            </w:tcMar>
            <w:vAlign w:val="center"/>
          </w:tcPr>
          <w:p w:rsidR="00894661" w:rsidRPr="00CF58C2" w:rsidRDefault="00894661" w:rsidP="00CF58C2">
            <w:pPr>
              <w:pBdr>
                <w:top w:val="nil"/>
                <w:left w:val="nil"/>
                <w:bottom w:val="nil"/>
                <w:right w:val="nil"/>
                <w:between w:val="nil"/>
              </w:pBdr>
              <w:spacing w:after="120" w:line="360" w:lineRule="auto"/>
              <w:rPr>
                <w:rFonts w:ascii="Arial" w:eastAsia="Arial" w:hAnsi="Arial" w:cs="Arial"/>
                <w:color w:val="010000"/>
                <w:sz w:val="20"/>
                <w:szCs w:val="20"/>
              </w:rPr>
            </w:pPr>
          </w:p>
        </w:tc>
        <w:tc>
          <w:tcPr>
            <w:tcW w:w="503" w:type="pct"/>
            <w:vMerge/>
            <w:tcBorders>
              <w:top w:val="single" w:sz="4" w:space="0" w:color="000000"/>
              <w:left w:val="single" w:sz="4" w:space="0" w:color="000000"/>
            </w:tcBorders>
            <w:shd w:val="clear" w:color="auto" w:fill="auto"/>
            <w:tcMar>
              <w:top w:w="0" w:type="dxa"/>
              <w:bottom w:w="0" w:type="dxa"/>
            </w:tcMar>
            <w:vAlign w:val="center"/>
          </w:tcPr>
          <w:p w:rsidR="00894661" w:rsidRPr="00CF58C2" w:rsidRDefault="00894661" w:rsidP="00CF58C2">
            <w:pPr>
              <w:pBdr>
                <w:top w:val="nil"/>
                <w:left w:val="nil"/>
                <w:bottom w:val="nil"/>
                <w:right w:val="nil"/>
                <w:between w:val="nil"/>
              </w:pBdr>
              <w:spacing w:after="120" w:line="360" w:lineRule="auto"/>
              <w:rPr>
                <w:rFonts w:ascii="Arial" w:eastAsia="Arial" w:hAnsi="Arial" w:cs="Arial"/>
                <w:color w:val="010000"/>
                <w:sz w:val="20"/>
                <w:szCs w:val="20"/>
              </w:rPr>
            </w:pPr>
          </w:p>
        </w:tc>
        <w:tc>
          <w:tcPr>
            <w:tcW w:w="503" w:type="pct"/>
            <w:vMerge/>
            <w:tcBorders>
              <w:top w:val="single" w:sz="4" w:space="0" w:color="000000"/>
              <w:left w:val="single" w:sz="4" w:space="0" w:color="000000"/>
            </w:tcBorders>
            <w:shd w:val="clear" w:color="auto" w:fill="auto"/>
            <w:tcMar>
              <w:top w:w="0" w:type="dxa"/>
              <w:bottom w:w="0" w:type="dxa"/>
            </w:tcMar>
            <w:vAlign w:val="center"/>
          </w:tcPr>
          <w:p w:rsidR="00894661" w:rsidRPr="00CF58C2" w:rsidRDefault="00894661" w:rsidP="00CF58C2">
            <w:pPr>
              <w:pBdr>
                <w:top w:val="nil"/>
                <w:left w:val="nil"/>
                <w:bottom w:val="nil"/>
                <w:right w:val="nil"/>
                <w:between w:val="nil"/>
              </w:pBdr>
              <w:spacing w:after="120" w:line="360" w:lineRule="auto"/>
              <w:rPr>
                <w:rFonts w:ascii="Arial" w:eastAsia="Arial" w:hAnsi="Arial" w:cs="Arial"/>
                <w:color w:val="010000"/>
                <w:sz w:val="20"/>
                <w:szCs w:val="20"/>
              </w:rPr>
            </w:pPr>
          </w:p>
        </w:tc>
        <w:tc>
          <w:tcPr>
            <w:tcW w:w="503" w:type="pct"/>
            <w:tcBorders>
              <w:top w:val="single" w:sz="4" w:space="0" w:color="000000"/>
              <w:left w:val="single" w:sz="4" w:space="0" w:color="000000"/>
            </w:tcBorders>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July</w:t>
            </w:r>
          </w:p>
        </w:tc>
        <w:tc>
          <w:tcPr>
            <w:tcW w:w="505" w:type="pct"/>
            <w:tcBorders>
              <w:top w:val="single" w:sz="4" w:space="0" w:color="000000"/>
              <w:left w:val="single" w:sz="4" w:space="0" w:color="000000"/>
            </w:tcBorders>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August</w:t>
            </w:r>
          </w:p>
        </w:tc>
        <w:tc>
          <w:tcPr>
            <w:tcW w:w="554" w:type="pct"/>
            <w:tcBorders>
              <w:top w:val="single" w:sz="4" w:space="0" w:color="000000"/>
              <w:left w:val="single" w:sz="4" w:space="0" w:color="000000"/>
            </w:tcBorders>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 xml:space="preserve">September </w:t>
            </w:r>
          </w:p>
        </w:tc>
        <w:tc>
          <w:tcPr>
            <w:tcW w:w="456"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Total</w:t>
            </w:r>
          </w:p>
        </w:tc>
      </w:tr>
      <w:tr w:rsidR="00E47C87" w:rsidRPr="00CF58C2" w:rsidTr="00CF58C2">
        <w:tc>
          <w:tcPr>
            <w:tcW w:w="1021" w:type="pct"/>
            <w:tcBorders>
              <w:top w:val="single" w:sz="4" w:space="0" w:color="000000"/>
              <w:left w:val="single" w:sz="4" w:space="0" w:color="000000"/>
            </w:tcBorders>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Net revenue</w:t>
            </w:r>
          </w:p>
        </w:tc>
        <w:tc>
          <w:tcPr>
            <w:tcW w:w="954" w:type="pct"/>
            <w:tcBorders>
              <w:top w:val="single" w:sz="4" w:space="0" w:color="000000"/>
              <w:left w:val="single" w:sz="4" w:space="0" w:color="000000"/>
            </w:tcBorders>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Million VND</w:t>
            </w:r>
          </w:p>
        </w:tc>
        <w:tc>
          <w:tcPr>
            <w:tcW w:w="503" w:type="pct"/>
            <w:tcBorders>
              <w:top w:val="single" w:sz="4" w:space="0" w:color="000000"/>
              <w:left w:val="single" w:sz="4" w:space="0" w:color="000000"/>
            </w:tcBorders>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505,368</w:t>
            </w:r>
          </w:p>
        </w:tc>
        <w:tc>
          <w:tcPr>
            <w:tcW w:w="503" w:type="pct"/>
            <w:tcBorders>
              <w:top w:val="single" w:sz="4" w:space="0" w:color="000000"/>
              <w:left w:val="single" w:sz="4" w:space="0" w:color="000000"/>
            </w:tcBorders>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884,334</w:t>
            </w:r>
          </w:p>
        </w:tc>
        <w:tc>
          <w:tcPr>
            <w:tcW w:w="503" w:type="pct"/>
            <w:tcBorders>
              <w:top w:val="single" w:sz="4" w:space="0" w:color="000000"/>
              <w:left w:val="single" w:sz="4" w:space="0" w:color="000000"/>
            </w:tcBorders>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201,118</w:t>
            </w:r>
          </w:p>
        </w:tc>
        <w:tc>
          <w:tcPr>
            <w:tcW w:w="505" w:type="pct"/>
            <w:tcBorders>
              <w:top w:val="single" w:sz="4" w:space="0" w:color="000000"/>
              <w:left w:val="single" w:sz="4" w:space="0" w:color="000000"/>
            </w:tcBorders>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208,331</w:t>
            </w:r>
          </w:p>
        </w:tc>
        <w:tc>
          <w:tcPr>
            <w:tcW w:w="554" w:type="pct"/>
            <w:tcBorders>
              <w:top w:val="single" w:sz="4" w:space="0" w:color="000000"/>
              <w:left w:val="single" w:sz="4" w:space="0" w:color="000000"/>
            </w:tcBorders>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211,525</w:t>
            </w:r>
          </w:p>
        </w:tc>
        <w:tc>
          <w:tcPr>
            <w:tcW w:w="456"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620,974</w:t>
            </w:r>
          </w:p>
        </w:tc>
      </w:tr>
      <w:tr w:rsidR="00E47C87" w:rsidRPr="00CF58C2" w:rsidTr="00CF58C2">
        <w:tc>
          <w:tcPr>
            <w:tcW w:w="1021" w:type="pct"/>
            <w:tcBorders>
              <w:top w:val="single" w:sz="4" w:space="0" w:color="000000"/>
              <w:left w:val="single" w:sz="4" w:space="0" w:color="000000"/>
            </w:tcBorders>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Profit before tax</w:t>
            </w:r>
          </w:p>
        </w:tc>
        <w:tc>
          <w:tcPr>
            <w:tcW w:w="954" w:type="pct"/>
            <w:tcBorders>
              <w:top w:val="single" w:sz="4" w:space="0" w:color="000000"/>
              <w:left w:val="single" w:sz="4" w:space="0" w:color="000000"/>
            </w:tcBorders>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Million VND</w:t>
            </w:r>
          </w:p>
        </w:tc>
        <w:tc>
          <w:tcPr>
            <w:tcW w:w="503" w:type="pct"/>
            <w:tcBorders>
              <w:top w:val="single" w:sz="4" w:space="0" w:color="000000"/>
              <w:left w:val="single" w:sz="4" w:space="0" w:color="000000"/>
            </w:tcBorders>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20,333</w:t>
            </w:r>
          </w:p>
        </w:tc>
        <w:tc>
          <w:tcPr>
            <w:tcW w:w="503" w:type="pct"/>
            <w:tcBorders>
              <w:top w:val="single" w:sz="4" w:space="0" w:color="000000"/>
              <w:left w:val="single" w:sz="4" w:space="0" w:color="000000"/>
            </w:tcBorders>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-11,954</w:t>
            </w:r>
          </w:p>
        </w:tc>
        <w:tc>
          <w:tcPr>
            <w:tcW w:w="503" w:type="pct"/>
            <w:tcBorders>
              <w:top w:val="single" w:sz="4" w:space="0" w:color="000000"/>
              <w:left w:val="single" w:sz="4" w:space="0" w:color="000000"/>
            </w:tcBorders>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10,075</w:t>
            </w:r>
          </w:p>
        </w:tc>
        <w:tc>
          <w:tcPr>
            <w:tcW w:w="505" w:type="pct"/>
            <w:tcBorders>
              <w:top w:val="single" w:sz="4" w:space="0" w:color="000000"/>
              <w:left w:val="single" w:sz="4" w:space="0" w:color="000000"/>
            </w:tcBorders>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8,027</w:t>
            </w:r>
          </w:p>
        </w:tc>
        <w:tc>
          <w:tcPr>
            <w:tcW w:w="554" w:type="pct"/>
            <w:tcBorders>
              <w:top w:val="single" w:sz="4" w:space="0" w:color="000000"/>
              <w:left w:val="single" w:sz="4" w:space="0" w:color="000000"/>
            </w:tcBorders>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10,351</w:t>
            </w:r>
          </w:p>
        </w:tc>
        <w:tc>
          <w:tcPr>
            <w:tcW w:w="456"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28,453</w:t>
            </w:r>
          </w:p>
        </w:tc>
      </w:tr>
      <w:tr w:rsidR="00E47C87" w:rsidRPr="00CF58C2" w:rsidTr="00CF58C2">
        <w:tc>
          <w:tcPr>
            <w:tcW w:w="1021" w:type="pct"/>
            <w:tcBorders>
              <w:top w:val="single" w:sz="4" w:space="0" w:color="000000"/>
              <w:left w:val="single" w:sz="4" w:space="0" w:color="000000"/>
            </w:tcBorders>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Depreciation of fixed assets</w:t>
            </w:r>
          </w:p>
        </w:tc>
        <w:tc>
          <w:tcPr>
            <w:tcW w:w="954" w:type="pct"/>
            <w:tcBorders>
              <w:top w:val="single" w:sz="4" w:space="0" w:color="000000"/>
              <w:left w:val="single" w:sz="4" w:space="0" w:color="000000"/>
            </w:tcBorders>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Million VND</w:t>
            </w:r>
          </w:p>
        </w:tc>
        <w:tc>
          <w:tcPr>
            <w:tcW w:w="503" w:type="pct"/>
            <w:tcBorders>
              <w:top w:val="single" w:sz="4" w:space="0" w:color="000000"/>
              <w:left w:val="single" w:sz="4" w:space="0" w:color="000000"/>
            </w:tcBorders>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41,405</w:t>
            </w:r>
          </w:p>
        </w:tc>
        <w:tc>
          <w:tcPr>
            <w:tcW w:w="503" w:type="pct"/>
            <w:tcBorders>
              <w:top w:val="single" w:sz="4" w:space="0" w:color="000000"/>
              <w:left w:val="single" w:sz="4" w:space="0" w:color="000000"/>
            </w:tcBorders>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83,963</w:t>
            </w:r>
          </w:p>
        </w:tc>
        <w:tc>
          <w:tcPr>
            <w:tcW w:w="503" w:type="pct"/>
            <w:tcBorders>
              <w:top w:val="single" w:sz="4" w:space="0" w:color="000000"/>
              <w:left w:val="single" w:sz="4" w:space="0" w:color="000000"/>
            </w:tcBorders>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13,767</w:t>
            </w:r>
          </w:p>
        </w:tc>
        <w:tc>
          <w:tcPr>
            <w:tcW w:w="505" w:type="pct"/>
            <w:tcBorders>
              <w:top w:val="single" w:sz="4" w:space="0" w:color="000000"/>
              <w:left w:val="single" w:sz="4" w:space="0" w:color="000000"/>
            </w:tcBorders>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13,767</w:t>
            </w:r>
          </w:p>
        </w:tc>
        <w:tc>
          <w:tcPr>
            <w:tcW w:w="554" w:type="pct"/>
            <w:tcBorders>
              <w:top w:val="single" w:sz="4" w:space="0" w:color="000000"/>
              <w:left w:val="single" w:sz="4" w:space="0" w:color="000000"/>
            </w:tcBorders>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13,767</w:t>
            </w:r>
          </w:p>
        </w:tc>
        <w:tc>
          <w:tcPr>
            <w:tcW w:w="456"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41,301</w:t>
            </w:r>
          </w:p>
        </w:tc>
      </w:tr>
      <w:tr w:rsidR="00E47C87" w:rsidRPr="00CF58C2" w:rsidTr="00CF58C2">
        <w:tc>
          <w:tcPr>
            <w:tcW w:w="1021"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Average income</w:t>
            </w:r>
          </w:p>
        </w:tc>
        <w:tc>
          <w:tcPr>
            <w:tcW w:w="954"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Million VND/person/month</w:t>
            </w:r>
          </w:p>
        </w:tc>
        <w:tc>
          <w:tcPr>
            <w:tcW w:w="503"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14.2</w:t>
            </w:r>
          </w:p>
        </w:tc>
        <w:tc>
          <w:tcPr>
            <w:tcW w:w="503"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14.0</w:t>
            </w:r>
          </w:p>
        </w:tc>
        <w:tc>
          <w:tcPr>
            <w:tcW w:w="503"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14.3</w:t>
            </w:r>
          </w:p>
        </w:tc>
        <w:tc>
          <w:tcPr>
            <w:tcW w:w="50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14.3</w:t>
            </w:r>
          </w:p>
        </w:tc>
        <w:tc>
          <w:tcPr>
            <w:tcW w:w="554"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14.3</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14.3</w:t>
            </w:r>
          </w:p>
        </w:tc>
      </w:tr>
    </w:tbl>
    <w:p w:rsidR="00894661" w:rsidRPr="00CF58C2" w:rsidRDefault="00CF58C2" w:rsidP="00CF58C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Implementation measures:</w:t>
      </w:r>
    </w:p>
    <w:p w:rsidR="00894661" w:rsidRPr="00CF58C2" w:rsidRDefault="00CF58C2" w:rsidP="00CF58C2">
      <w:pPr>
        <w:keepNext/>
        <w:numPr>
          <w:ilvl w:val="1"/>
          <w:numId w:val="2"/>
        </w:numPr>
        <w:pBdr>
          <w:top w:val="nil"/>
          <w:left w:val="nil"/>
          <w:bottom w:val="nil"/>
          <w:right w:val="nil"/>
          <w:between w:val="nil"/>
        </w:pBdr>
        <w:tabs>
          <w:tab w:val="left" w:pos="360"/>
          <w:tab w:val="left" w:pos="935"/>
        </w:tabs>
        <w:spacing w:after="120" w:line="360" w:lineRule="auto"/>
        <w:rPr>
          <w:rFonts w:ascii="Arial" w:eastAsia="Arial" w:hAnsi="Arial" w:cs="Arial"/>
          <w:color w:val="010000"/>
          <w:sz w:val="20"/>
          <w:szCs w:val="20"/>
        </w:rPr>
      </w:pPr>
      <w:r w:rsidRPr="00CF58C2">
        <w:rPr>
          <w:rFonts w:ascii="Arial" w:hAnsi="Arial" w:cs="Arial"/>
          <w:color w:val="010000"/>
          <w:sz w:val="20"/>
        </w:rPr>
        <w:t>On the production and product quality:</w:t>
      </w:r>
    </w:p>
    <w:p w:rsidR="00894661" w:rsidRPr="00CF58C2" w:rsidRDefault="00CF58C2" w:rsidP="00CF58C2">
      <w:pPr>
        <w:numPr>
          <w:ilvl w:val="0"/>
          <w:numId w:val="1"/>
        </w:numPr>
        <w:pBdr>
          <w:top w:val="nil"/>
          <w:left w:val="nil"/>
          <w:bottom w:val="nil"/>
          <w:right w:val="nil"/>
          <w:between w:val="nil"/>
        </w:pBdr>
        <w:tabs>
          <w:tab w:val="left" w:pos="360"/>
          <w:tab w:val="left" w:pos="681"/>
        </w:tabs>
        <w:spacing w:after="120" w:line="360" w:lineRule="auto"/>
        <w:rPr>
          <w:rFonts w:ascii="Arial" w:eastAsia="Arial" w:hAnsi="Arial" w:cs="Arial"/>
          <w:color w:val="010000"/>
          <w:sz w:val="20"/>
          <w:szCs w:val="20"/>
        </w:rPr>
      </w:pPr>
      <w:r w:rsidRPr="00CF58C2">
        <w:rPr>
          <w:rFonts w:ascii="Arial" w:hAnsi="Arial" w:cs="Arial"/>
          <w:color w:val="010000"/>
          <w:sz w:val="20"/>
        </w:rPr>
        <w:t>Factories inspect and maintain the machinery and equipment to ensure stable production, and strictly control the input materials to ensure product quality according to standards. Planned targets should be achieved.</w:t>
      </w:r>
    </w:p>
    <w:p w:rsidR="00894661" w:rsidRPr="00CF58C2" w:rsidRDefault="00CF58C2" w:rsidP="00CF58C2">
      <w:pPr>
        <w:numPr>
          <w:ilvl w:val="0"/>
          <w:numId w:val="1"/>
        </w:numPr>
        <w:pBdr>
          <w:top w:val="nil"/>
          <w:left w:val="nil"/>
          <w:bottom w:val="nil"/>
          <w:right w:val="nil"/>
          <w:between w:val="nil"/>
        </w:pBdr>
        <w:tabs>
          <w:tab w:val="left" w:pos="360"/>
          <w:tab w:val="left" w:pos="681"/>
        </w:tabs>
        <w:spacing w:after="120" w:line="360" w:lineRule="auto"/>
        <w:rPr>
          <w:rFonts w:ascii="Arial" w:eastAsia="Arial" w:hAnsi="Arial" w:cs="Arial"/>
          <w:color w:val="010000"/>
          <w:sz w:val="20"/>
          <w:szCs w:val="20"/>
        </w:rPr>
      </w:pPr>
      <w:r w:rsidRPr="00CF58C2">
        <w:rPr>
          <w:rFonts w:ascii="Arial" w:hAnsi="Arial" w:cs="Arial"/>
          <w:color w:val="010000"/>
          <w:sz w:val="20"/>
        </w:rPr>
        <w:t>Material reserve:</w:t>
      </w:r>
    </w:p>
    <w:p w:rsidR="00894661" w:rsidRPr="00CF58C2" w:rsidRDefault="00CF58C2" w:rsidP="00CF58C2">
      <w:pPr>
        <w:numPr>
          <w:ilvl w:val="0"/>
          <w:numId w:val="3"/>
        </w:numPr>
        <w:pBdr>
          <w:top w:val="nil"/>
          <w:left w:val="nil"/>
          <w:bottom w:val="nil"/>
          <w:right w:val="nil"/>
          <w:between w:val="nil"/>
        </w:pBdr>
        <w:tabs>
          <w:tab w:val="left" w:pos="360"/>
          <w:tab w:val="left" w:pos="1033"/>
        </w:tabs>
        <w:spacing w:after="120" w:line="360" w:lineRule="auto"/>
        <w:rPr>
          <w:rFonts w:ascii="Arial" w:eastAsia="Arial" w:hAnsi="Arial" w:cs="Arial"/>
          <w:color w:val="010000"/>
          <w:sz w:val="20"/>
          <w:szCs w:val="20"/>
        </w:rPr>
      </w:pPr>
      <w:r w:rsidRPr="00CF58C2">
        <w:rPr>
          <w:rFonts w:ascii="Arial" w:hAnsi="Arial" w:cs="Arial"/>
          <w:color w:val="010000"/>
          <w:sz w:val="20"/>
        </w:rPr>
        <w:t>Maintain the reserve of materials at the supplier's warehouse in the form of warehouse storage, appoint employees to regularly check and supervise to ensure the correct and sufficient quality and quantity according to technical requirements;</w:t>
      </w:r>
    </w:p>
    <w:p w:rsidR="00894661" w:rsidRPr="00CF58C2" w:rsidRDefault="00CF58C2" w:rsidP="00CF58C2">
      <w:pPr>
        <w:numPr>
          <w:ilvl w:val="0"/>
          <w:numId w:val="3"/>
        </w:numPr>
        <w:pBdr>
          <w:top w:val="nil"/>
          <w:left w:val="nil"/>
          <w:bottom w:val="nil"/>
          <w:right w:val="nil"/>
          <w:between w:val="nil"/>
        </w:pBdr>
        <w:tabs>
          <w:tab w:val="left" w:pos="360"/>
          <w:tab w:val="left" w:pos="1033"/>
        </w:tabs>
        <w:spacing w:after="120" w:line="360" w:lineRule="auto"/>
        <w:rPr>
          <w:rFonts w:ascii="Arial" w:eastAsia="Arial" w:hAnsi="Arial" w:cs="Arial"/>
          <w:color w:val="010000"/>
          <w:sz w:val="20"/>
          <w:szCs w:val="20"/>
        </w:rPr>
      </w:pPr>
      <w:r w:rsidRPr="00CF58C2">
        <w:rPr>
          <w:rFonts w:ascii="Arial" w:hAnsi="Arial" w:cs="Arial"/>
          <w:color w:val="010000"/>
          <w:sz w:val="20"/>
        </w:rPr>
        <w:t>Search for materials sources of kaolin and clay to ensure reserves from 6 months to 1 year of production. Fully utilize the rented warehouse to store materials;</w:t>
      </w:r>
    </w:p>
    <w:p w:rsidR="00894661" w:rsidRPr="00CF58C2" w:rsidRDefault="00CF58C2" w:rsidP="00CF58C2">
      <w:pPr>
        <w:numPr>
          <w:ilvl w:val="0"/>
          <w:numId w:val="1"/>
        </w:numPr>
        <w:pBdr>
          <w:top w:val="nil"/>
          <w:left w:val="nil"/>
          <w:bottom w:val="nil"/>
          <w:right w:val="nil"/>
          <w:between w:val="nil"/>
        </w:pBdr>
        <w:tabs>
          <w:tab w:val="left" w:pos="360"/>
          <w:tab w:val="left" w:pos="681"/>
        </w:tabs>
        <w:spacing w:after="120" w:line="360" w:lineRule="auto"/>
        <w:rPr>
          <w:rFonts w:ascii="Arial" w:eastAsia="Arial" w:hAnsi="Arial" w:cs="Arial"/>
          <w:color w:val="010000"/>
          <w:sz w:val="20"/>
          <w:szCs w:val="20"/>
        </w:rPr>
      </w:pPr>
      <w:r w:rsidRPr="00CF58C2">
        <w:rPr>
          <w:rFonts w:ascii="Arial" w:hAnsi="Arial" w:cs="Arial"/>
          <w:color w:val="010000"/>
          <w:sz w:val="20"/>
        </w:rPr>
        <w:t>On the product quality:</w:t>
      </w:r>
      <w:r w:rsidR="00E47C87" w:rsidRPr="00CF58C2">
        <w:rPr>
          <w:rFonts w:ascii="Arial" w:hAnsi="Arial" w:cs="Arial"/>
          <w:color w:val="010000"/>
          <w:sz w:val="20"/>
        </w:rPr>
        <w:t xml:space="preserve"> </w:t>
      </w:r>
      <w:r w:rsidRPr="00CF58C2">
        <w:rPr>
          <w:rFonts w:ascii="Arial" w:hAnsi="Arial" w:cs="Arial"/>
          <w:color w:val="010000"/>
          <w:sz w:val="20"/>
        </w:rPr>
        <w:t xml:space="preserve">Ensure compliance with internal standard TCCS GRA 03:2013 promulgated by </w:t>
      </w:r>
      <w:proofErr w:type="spellStart"/>
      <w:r w:rsidRPr="00CF58C2">
        <w:rPr>
          <w:rFonts w:ascii="Arial" w:hAnsi="Arial" w:cs="Arial"/>
          <w:color w:val="010000"/>
          <w:sz w:val="20"/>
        </w:rPr>
        <w:t>Viglacera</w:t>
      </w:r>
      <w:proofErr w:type="spellEnd"/>
      <w:r w:rsidRPr="00CF58C2">
        <w:rPr>
          <w:rFonts w:ascii="Arial" w:hAnsi="Arial" w:cs="Arial"/>
          <w:color w:val="010000"/>
          <w:sz w:val="20"/>
        </w:rPr>
        <w:t xml:space="preserve"> Corporation.</w:t>
      </w:r>
    </w:p>
    <w:p w:rsidR="00894661" w:rsidRPr="00CF58C2" w:rsidRDefault="00CF58C2" w:rsidP="00CF58C2">
      <w:pPr>
        <w:numPr>
          <w:ilvl w:val="0"/>
          <w:numId w:val="1"/>
        </w:numPr>
        <w:pBdr>
          <w:top w:val="nil"/>
          <w:left w:val="nil"/>
          <w:bottom w:val="nil"/>
          <w:right w:val="nil"/>
          <w:between w:val="nil"/>
        </w:pBdr>
        <w:tabs>
          <w:tab w:val="left" w:pos="360"/>
          <w:tab w:val="left" w:pos="681"/>
        </w:tabs>
        <w:spacing w:after="120" w:line="360" w:lineRule="auto"/>
        <w:rPr>
          <w:rFonts w:ascii="Arial" w:eastAsia="Arial" w:hAnsi="Arial" w:cs="Arial"/>
          <w:color w:val="010000"/>
          <w:sz w:val="20"/>
          <w:szCs w:val="20"/>
        </w:rPr>
      </w:pPr>
      <w:r w:rsidRPr="00CF58C2">
        <w:rPr>
          <w:rFonts w:ascii="Arial" w:hAnsi="Arial" w:cs="Arial"/>
          <w:color w:val="010000"/>
          <w:sz w:val="20"/>
        </w:rPr>
        <w:t>Recovery rate of Factories: Strive to reach over 96%.</w:t>
      </w:r>
    </w:p>
    <w:p w:rsidR="00894661" w:rsidRPr="00CF58C2" w:rsidRDefault="00CF58C2" w:rsidP="00CF58C2">
      <w:pPr>
        <w:keepNext/>
        <w:numPr>
          <w:ilvl w:val="1"/>
          <w:numId w:val="2"/>
        </w:numPr>
        <w:pBdr>
          <w:top w:val="nil"/>
          <w:left w:val="nil"/>
          <w:bottom w:val="nil"/>
          <w:right w:val="nil"/>
          <w:between w:val="nil"/>
        </w:pBdr>
        <w:tabs>
          <w:tab w:val="left" w:pos="360"/>
          <w:tab w:val="left" w:pos="935"/>
        </w:tabs>
        <w:spacing w:after="120" w:line="360" w:lineRule="auto"/>
        <w:rPr>
          <w:rFonts w:ascii="Arial" w:eastAsia="Arial" w:hAnsi="Arial" w:cs="Arial"/>
          <w:color w:val="010000"/>
          <w:sz w:val="20"/>
          <w:szCs w:val="20"/>
        </w:rPr>
      </w:pPr>
      <w:r w:rsidRPr="00CF58C2">
        <w:rPr>
          <w:rFonts w:ascii="Arial" w:hAnsi="Arial" w:cs="Arial"/>
          <w:color w:val="010000"/>
          <w:sz w:val="20"/>
        </w:rPr>
        <w:t>Control and reduction of expenses:</w:t>
      </w:r>
    </w:p>
    <w:p w:rsidR="00894661" w:rsidRPr="00CF58C2" w:rsidRDefault="00CF58C2" w:rsidP="00CF58C2">
      <w:pPr>
        <w:numPr>
          <w:ilvl w:val="0"/>
          <w:numId w:val="1"/>
        </w:numPr>
        <w:pBdr>
          <w:top w:val="nil"/>
          <w:left w:val="nil"/>
          <w:bottom w:val="nil"/>
          <w:right w:val="nil"/>
          <w:between w:val="nil"/>
        </w:pBdr>
        <w:tabs>
          <w:tab w:val="left" w:pos="360"/>
          <w:tab w:val="left" w:pos="681"/>
        </w:tabs>
        <w:spacing w:after="120" w:line="360" w:lineRule="auto"/>
        <w:rPr>
          <w:rFonts w:ascii="Arial" w:eastAsia="Arial" w:hAnsi="Arial" w:cs="Arial"/>
          <w:color w:val="010000"/>
          <w:sz w:val="20"/>
          <w:szCs w:val="20"/>
        </w:rPr>
      </w:pPr>
      <w:r w:rsidRPr="00CF58C2">
        <w:rPr>
          <w:rFonts w:ascii="Arial" w:hAnsi="Arial" w:cs="Arial"/>
          <w:color w:val="010000"/>
          <w:sz w:val="20"/>
        </w:rPr>
        <w:t>Continue to negotiate with suppliers to reduce the price of input materials and supplies. Search for alternative sources of materials with suitable quality and affordable prices;</w:t>
      </w:r>
    </w:p>
    <w:p w:rsidR="00894661" w:rsidRPr="00CF58C2" w:rsidRDefault="00CF58C2" w:rsidP="00CF58C2">
      <w:pPr>
        <w:numPr>
          <w:ilvl w:val="0"/>
          <w:numId w:val="1"/>
        </w:numPr>
        <w:pBdr>
          <w:top w:val="nil"/>
          <w:left w:val="nil"/>
          <w:bottom w:val="nil"/>
          <w:right w:val="nil"/>
          <w:between w:val="nil"/>
        </w:pBdr>
        <w:tabs>
          <w:tab w:val="left" w:pos="360"/>
          <w:tab w:val="left" w:pos="681"/>
        </w:tabs>
        <w:spacing w:after="120" w:line="360" w:lineRule="auto"/>
        <w:rPr>
          <w:rFonts w:ascii="Arial" w:eastAsia="Arial" w:hAnsi="Arial" w:cs="Arial"/>
          <w:color w:val="010000"/>
          <w:sz w:val="20"/>
          <w:szCs w:val="20"/>
        </w:rPr>
      </w:pPr>
      <w:r w:rsidRPr="00CF58C2">
        <w:rPr>
          <w:rFonts w:ascii="Arial" w:hAnsi="Arial" w:cs="Arial"/>
          <w:color w:val="010000"/>
          <w:sz w:val="20"/>
        </w:rPr>
        <w:t>Strengthen the quality supervision of input materials and supplies to reduce the shrinkage of phases.</w:t>
      </w:r>
    </w:p>
    <w:p w:rsidR="00894661" w:rsidRPr="00CF58C2" w:rsidRDefault="00CF58C2" w:rsidP="00CF58C2">
      <w:pPr>
        <w:numPr>
          <w:ilvl w:val="0"/>
          <w:numId w:val="1"/>
        </w:numPr>
        <w:pBdr>
          <w:top w:val="nil"/>
          <w:left w:val="nil"/>
          <w:bottom w:val="nil"/>
          <w:right w:val="nil"/>
          <w:between w:val="nil"/>
        </w:pBdr>
        <w:tabs>
          <w:tab w:val="left" w:pos="360"/>
          <w:tab w:val="left" w:pos="681"/>
        </w:tabs>
        <w:spacing w:after="120" w:line="360" w:lineRule="auto"/>
        <w:rPr>
          <w:rFonts w:ascii="Arial" w:eastAsia="Arial" w:hAnsi="Arial" w:cs="Arial"/>
          <w:color w:val="010000"/>
          <w:sz w:val="20"/>
          <w:szCs w:val="20"/>
        </w:rPr>
      </w:pPr>
      <w:r w:rsidRPr="00CF58C2">
        <w:rPr>
          <w:rFonts w:ascii="Arial" w:hAnsi="Arial" w:cs="Arial"/>
          <w:color w:val="010000"/>
          <w:sz w:val="20"/>
        </w:rPr>
        <w:t>Implement production expense allocation to departments, review weekly, monthly, and quarterly to ensure output, quality and recovery targets;</w:t>
      </w:r>
    </w:p>
    <w:p w:rsidR="00894661" w:rsidRPr="00CF58C2" w:rsidRDefault="00CF58C2" w:rsidP="00CF58C2">
      <w:pPr>
        <w:keepNext/>
        <w:numPr>
          <w:ilvl w:val="1"/>
          <w:numId w:val="2"/>
        </w:numPr>
        <w:pBdr>
          <w:top w:val="nil"/>
          <w:left w:val="nil"/>
          <w:bottom w:val="nil"/>
          <w:right w:val="nil"/>
          <w:between w:val="nil"/>
        </w:pBdr>
        <w:tabs>
          <w:tab w:val="left" w:pos="360"/>
          <w:tab w:val="left" w:pos="920"/>
        </w:tabs>
        <w:spacing w:after="120" w:line="360" w:lineRule="auto"/>
        <w:rPr>
          <w:rFonts w:ascii="Arial" w:eastAsia="Arial" w:hAnsi="Arial" w:cs="Arial"/>
          <w:color w:val="010000"/>
          <w:sz w:val="20"/>
          <w:szCs w:val="20"/>
        </w:rPr>
      </w:pPr>
      <w:r w:rsidRPr="00CF58C2">
        <w:rPr>
          <w:rFonts w:ascii="Arial" w:hAnsi="Arial" w:cs="Arial"/>
          <w:color w:val="010000"/>
          <w:sz w:val="20"/>
        </w:rPr>
        <w:lastRenderedPageBreak/>
        <w:t>Business</w:t>
      </w:r>
      <w:r w:rsidR="00E47C87" w:rsidRPr="00CF58C2">
        <w:rPr>
          <w:rFonts w:ascii="Arial" w:hAnsi="Arial" w:cs="Arial"/>
          <w:color w:val="010000"/>
          <w:sz w:val="20"/>
        </w:rPr>
        <w:t xml:space="preserve"> works</w:t>
      </w:r>
      <w:r w:rsidRPr="00CF58C2">
        <w:rPr>
          <w:rFonts w:ascii="Arial" w:hAnsi="Arial" w:cs="Arial"/>
          <w:color w:val="010000"/>
          <w:sz w:val="20"/>
        </w:rPr>
        <w:t>:</w:t>
      </w:r>
    </w:p>
    <w:p w:rsidR="00894661" w:rsidRPr="00CF58C2" w:rsidRDefault="00CF58C2" w:rsidP="00CF58C2">
      <w:pPr>
        <w:numPr>
          <w:ilvl w:val="0"/>
          <w:numId w:val="1"/>
        </w:numPr>
        <w:pBdr>
          <w:top w:val="nil"/>
          <w:left w:val="nil"/>
          <w:bottom w:val="nil"/>
          <w:right w:val="nil"/>
          <w:between w:val="nil"/>
        </w:pBdr>
        <w:tabs>
          <w:tab w:val="left" w:pos="360"/>
          <w:tab w:val="left" w:pos="681"/>
        </w:tabs>
        <w:spacing w:after="120" w:line="360" w:lineRule="auto"/>
        <w:rPr>
          <w:rFonts w:ascii="Arial" w:eastAsia="Arial" w:hAnsi="Arial" w:cs="Arial"/>
          <w:color w:val="010000"/>
          <w:sz w:val="20"/>
          <w:szCs w:val="20"/>
        </w:rPr>
      </w:pPr>
      <w:r w:rsidRPr="00CF58C2">
        <w:rPr>
          <w:rFonts w:ascii="Arial" w:hAnsi="Arial" w:cs="Arial"/>
          <w:color w:val="010000"/>
          <w:sz w:val="20"/>
        </w:rPr>
        <w:t xml:space="preserve">Cooperate with </w:t>
      </w:r>
      <w:proofErr w:type="spellStart"/>
      <w:r w:rsidRPr="00CF58C2">
        <w:rPr>
          <w:rFonts w:ascii="Arial" w:hAnsi="Arial" w:cs="Arial"/>
          <w:color w:val="010000"/>
          <w:sz w:val="20"/>
        </w:rPr>
        <w:t>Viglacera</w:t>
      </w:r>
      <w:proofErr w:type="spellEnd"/>
      <w:r w:rsidRPr="00CF58C2">
        <w:rPr>
          <w:rFonts w:ascii="Arial" w:hAnsi="Arial" w:cs="Arial"/>
          <w:color w:val="010000"/>
          <w:sz w:val="20"/>
        </w:rPr>
        <w:t xml:space="preserve"> Ceramic Tiles Trading Joint Stock Company to prepare monthly production plans, business plans, and financial plans;</w:t>
      </w:r>
    </w:p>
    <w:p w:rsidR="00894661" w:rsidRPr="00CF58C2" w:rsidRDefault="00CF58C2" w:rsidP="00CF58C2">
      <w:pPr>
        <w:numPr>
          <w:ilvl w:val="0"/>
          <w:numId w:val="1"/>
        </w:numPr>
        <w:pBdr>
          <w:top w:val="nil"/>
          <w:left w:val="nil"/>
          <w:bottom w:val="nil"/>
          <w:right w:val="nil"/>
          <w:between w:val="nil"/>
        </w:pBdr>
        <w:tabs>
          <w:tab w:val="left" w:pos="360"/>
          <w:tab w:val="left" w:pos="681"/>
        </w:tabs>
        <w:spacing w:after="120" w:line="360" w:lineRule="auto"/>
        <w:rPr>
          <w:rFonts w:ascii="Arial" w:eastAsia="Arial" w:hAnsi="Arial" w:cs="Arial"/>
          <w:color w:val="010000"/>
          <w:sz w:val="20"/>
          <w:szCs w:val="20"/>
        </w:rPr>
      </w:pPr>
      <w:r w:rsidRPr="00CF58C2">
        <w:rPr>
          <w:rFonts w:ascii="Arial" w:hAnsi="Arial" w:cs="Arial"/>
          <w:color w:val="010000"/>
          <w:sz w:val="20"/>
        </w:rPr>
        <w:t>Actively selling inventory;</w:t>
      </w:r>
    </w:p>
    <w:p w:rsidR="00894661" w:rsidRPr="00CF58C2" w:rsidRDefault="00CF58C2" w:rsidP="00CF58C2">
      <w:pPr>
        <w:numPr>
          <w:ilvl w:val="0"/>
          <w:numId w:val="1"/>
        </w:numPr>
        <w:pBdr>
          <w:top w:val="nil"/>
          <w:left w:val="nil"/>
          <w:bottom w:val="nil"/>
          <w:right w:val="nil"/>
          <w:between w:val="nil"/>
        </w:pBdr>
        <w:tabs>
          <w:tab w:val="left" w:pos="360"/>
          <w:tab w:val="left" w:pos="681"/>
        </w:tabs>
        <w:spacing w:after="120" w:line="360" w:lineRule="auto"/>
        <w:rPr>
          <w:rFonts w:ascii="Arial" w:eastAsia="Arial" w:hAnsi="Arial" w:cs="Arial"/>
          <w:color w:val="010000"/>
          <w:sz w:val="20"/>
          <w:szCs w:val="20"/>
        </w:rPr>
      </w:pPr>
      <w:r w:rsidRPr="00CF58C2">
        <w:rPr>
          <w:rFonts w:ascii="Arial" w:hAnsi="Arial" w:cs="Arial"/>
          <w:color w:val="010000"/>
          <w:sz w:val="20"/>
        </w:rPr>
        <w:t xml:space="preserve">Selling sintered stone products at </w:t>
      </w:r>
      <w:proofErr w:type="spellStart"/>
      <w:r w:rsidRPr="00CF58C2">
        <w:rPr>
          <w:rFonts w:ascii="Arial" w:hAnsi="Arial" w:cs="Arial"/>
          <w:color w:val="010000"/>
          <w:sz w:val="20"/>
        </w:rPr>
        <w:t>Viglacera</w:t>
      </w:r>
      <w:proofErr w:type="spellEnd"/>
      <w:r w:rsidRPr="00CF58C2">
        <w:rPr>
          <w:rFonts w:ascii="Arial" w:hAnsi="Arial" w:cs="Arial"/>
          <w:color w:val="010000"/>
          <w:sz w:val="20"/>
        </w:rPr>
        <w:t xml:space="preserve"> </w:t>
      </w:r>
      <w:proofErr w:type="spellStart"/>
      <w:r w:rsidRPr="00CF58C2">
        <w:rPr>
          <w:rFonts w:ascii="Arial" w:hAnsi="Arial" w:cs="Arial"/>
          <w:color w:val="010000"/>
          <w:sz w:val="20"/>
        </w:rPr>
        <w:t>EuroTile</w:t>
      </w:r>
      <w:proofErr w:type="spellEnd"/>
      <w:r w:rsidRPr="00CF58C2">
        <w:rPr>
          <w:rFonts w:ascii="Arial" w:hAnsi="Arial" w:cs="Arial"/>
          <w:color w:val="010000"/>
          <w:sz w:val="20"/>
        </w:rPr>
        <w:t xml:space="preserve"> Tile Factory;</w:t>
      </w:r>
    </w:p>
    <w:p w:rsidR="00894661" w:rsidRPr="00CF58C2" w:rsidRDefault="00CF58C2" w:rsidP="00CF58C2">
      <w:pPr>
        <w:numPr>
          <w:ilvl w:val="0"/>
          <w:numId w:val="1"/>
        </w:numPr>
        <w:pBdr>
          <w:top w:val="nil"/>
          <w:left w:val="nil"/>
          <w:bottom w:val="nil"/>
          <w:right w:val="nil"/>
          <w:between w:val="nil"/>
        </w:pBdr>
        <w:tabs>
          <w:tab w:val="left" w:pos="360"/>
          <w:tab w:val="left" w:pos="681"/>
        </w:tabs>
        <w:spacing w:after="120" w:line="360" w:lineRule="auto"/>
        <w:rPr>
          <w:rFonts w:ascii="Arial" w:eastAsia="Arial" w:hAnsi="Arial" w:cs="Arial"/>
          <w:color w:val="010000"/>
          <w:sz w:val="20"/>
          <w:szCs w:val="20"/>
        </w:rPr>
      </w:pPr>
      <w:r w:rsidRPr="00CF58C2">
        <w:rPr>
          <w:rFonts w:ascii="Arial" w:hAnsi="Arial" w:cs="Arial"/>
          <w:color w:val="010000"/>
          <w:sz w:val="20"/>
        </w:rPr>
        <w:t>Continue to promote exports;</w:t>
      </w:r>
    </w:p>
    <w:p w:rsidR="00894661" w:rsidRPr="00CF58C2" w:rsidRDefault="00CF58C2" w:rsidP="00CF58C2">
      <w:pPr>
        <w:numPr>
          <w:ilvl w:val="0"/>
          <w:numId w:val="1"/>
        </w:num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 xml:space="preserve">Cooperate with the Sales Company to continue developing high-end products such as </w:t>
      </w:r>
      <w:proofErr w:type="spellStart"/>
      <w:r w:rsidRPr="00CF58C2">
        <w:rPr>
          <w:rFonts w:ascii="Arial" w:hAnsi="Arial" w:cs="Arial"/>
          <w:color w:val="010000"/>
          <w:sz w:val="20"/>
        </w:rPr>
        <w:t>Eurotile</w:t>
      </w:r>
      <w:proofErr w:type="spellEnd"/>
      <w:r w:rsidRPr="00CF58C2">
        <w:rPr>
          <w:rFonts w:ascii="Arial" w:hAnsi="Arial" w:cs="Arial"/>
          <w:color w:val="010000"/>
          <w:sz w:val="20"/>
        </w:rPr>
        <w:t xml:space="preserve">, </w:t>
      </w:r>
      <w:proofErr w:type="spellStart"/>
      <w:r w:rsidRPr="00CF58C2">
        <w:rPr>
          <w:rFonts w:ascii="Arial" w:hAnsi="Arial" w:cs="Arial"/>
          <w:color w:val="010000"/>
          <w:sz w:val="20"/>
        </w:rPr>
        <w:t>Colorbody</w:t>
      </w:r>
      <w:proofErr w:type="spellEnd"/>
      <w:r w:rsidRPr="00CF58C2">
        <w:rPr>
          <w:rFonts w:ascii="Arial" w:hAnsi="Arial" w:cs="Arial"/>
          <w:color w:val="010000"/>
          <w:sz w:val="20"/>
        </w:rPr>
        <w:t xml:space="preserve">, Outdoor, Signature and sintered </w:t>
      </w:r>
      <w:proofErr w:type="spellStart"/>
      <w:r w:rsidRPr="00CF58C2">
        <w:rPr>
          <w:rFonts w:ascii="Arial" w:hAnsi="Arial" w:cs="Arial"/>
          <w:color w:val="010000"/>
          <w:sz w:val="20"/>
        </w:rPr>
        <w:t>Vasta</w:t>
      </w:r>
      <w:proofErr w:type="spellEnd"/>
      <w:r w:rsidRPr="00CF58C2">
        <w:rPr>
          <w:rFonts w:ascii="Arial" w:hAnsi="Arial" w:cs="Arial"/>
          <w:color w:val="010000"/>
          <w:sz w:val="20"/>
        </w:rPr>
        <w:t xml:space="preserve"> Stone products with a variety of product designs.</w:t>
      </w:r>
    </w:p>
    <w:p w:rsidR="00894661" w:rsidRPr="00CF58C2" w:rsidRDefault="00CF58C2" w:rsidP="00CF58C2">
      <w:pPr>
        <w:keepNext/>
        <w:numPr>
          <w:ilvl w:val="1"/>
          <w:numId w:val="2"/>
        </w:numPr>
        <w:pBdr>
          <w:top w:val="nil"/>
          <w:left w:val="nil"/>
          <w:bottom w:val="nil"/>
          <w:right w:val="nil"/>
          <w:between w:val="nil"/>
        </w:pBdr>
        <w:tabs>
          <w:tab w:val="left" w:pos="360"/>
          <w:tab w:val="left" w:pos="940"/>
        </w:tabs>
        <w:spacing w:after="120" w:line="360" w:lineRule="auto"/>
        <w:rPr>
          <w:rFonts w:ascii="Arial" w:eastAsia="Arial" w:hAnsi="Arial" w:cs="Arial"/>
          <w:color w:val="010000"/>
          <w:sz w:val="20"/>
          <w:szCs w:val="20"/>
        </w:rPr>
      </w:pPr>
      <w:r w:rsidRPr="00CF58C2">
        <w:rPr>
          <w:rFonts w:ascii="Arial" w:hAnsi="Arial" w:cs="Arial"/>
          <w:color w:val="010000"/>
          <w:sz w:val="20"/>
        </w:rPr>
        <w:t>Financial work</w:t>
      </w:r>
      <w:r w:rsidR="00E47C87" w:rsidRPr="00CF58C2">
        <w:rPr>
          <w:rFonts w:ascii="Arial" w:hAnsi="Arial" w:cs="Arial"/>
          <w:color w:val="010000"/>
          <w:sz w:val="20"/>
        </w:rPr>
        <w:t>s</w:t>
      </w:r>
      <w:r w:rsidRPr="00CF58C2">
        <w:rPr>
          <w:rFonts w:ascii="Arial" w:hAnsi="Arial" w:cs="Arial"/>
          <w:color w:val="010000"/>
          <w:sz w:val="20"/>
        </w:rPr>
        <w:t>:</w:t>
      </w:r>
    </w:p>
    <w:p w:rsidR="00894661" w:rsidRPr="00CF58C2" w:rsidRDefault="00CF58C2" w:rsidP="00CF58C2">
      <w:pPr>
        <w:numPr>
          <w:ilvl w:val="0"/>
          <w:numId w:val="1"/>
        </w:numPr>
        <w:pBdr>
          <w:top w:val="nil"/>
          <w:left w:val="nil"/>
          <w:bottom w:val="nil"/>
          <w:right w:val="nil"/>
          <w:between w:val="nil"/>
        </w:pBdr>
        <w:tabs>
          <w:tab w:val="left" w:pos="360"/>
          <w:tab w:val="left" w:pos="739"/>
        </w:tabs>
        <w:spacing w:after="120" w:line="360" w:lineRule="auto"/>
        <w:rPr>
          <w:rFonts w:ascii="Arial" w:eastAsia="Arial" w:hAnsi="Arial" w:cs="Arial"/>
          <w:color w:val="010000"/>
          <w:sz w:val="20"/>
          <w:szCs w:val="20"/>
        </w:rPr>
      </w:pPr>
      <w:r w:rsidRPr="00CF58C2">
        <w:rPr>
          <w:rFonts w:ascii="Arial" w:hAnsi="Arial" w:cs="Arial"/>
          <w:color w:val="010000"/>
          <w:sz w:val="20"/>
        </w:rPr>
        <w:t>Search for capital sources with low interest rate to reduce financial expenses for the Company;</w:t>
      </w:r>
    </w:p>
    <w:p w:rsidR="00894661" w:rsidRPr="00CF58C2" w:rsidRDefault="00CF58C2" w:rsidP="00CF58C2">
      <w:pPr>
        <w:numPr>
          <w:ilvl w:val="0"/>
          <w:numId w:val="1"/>
        </w:numPr>
        <w:pBdr>
          <w:top w:val="nil"/>
          <w:left w:val="nil"/>
          <w:bottom w:val="nil"/>
          <w:right w:val="nil"/>
          <w:between w:val="nil"/>
        </w:pBdr>
        <w:tabs>
          <w:tab w:val="left" w:pos="360"/>
          <w:tab w:val="left" w:pos="739"/>
        </w:tabs>
        <w:spacing w:after="120" w:line="360" w:lineRule="auto"/>
        <w:rPr>
          <w:rFonts w:ascii="Arial" w:eastAsia="Arial" w:hAnsi="Arial" w:cs="Arial"/>
          <w:color w:val="010000"/>
          <w:sz w:val="20"/>
          <w:szCs w:val="20"/>
        </w:rPr>
      </w:pPr>
      <w:r w:rsidRPr="00CF58C2">
        <w:rPr>
          <w:rFonts w:ascii="Arial" w:hAnsi="Arial" w:cs="Arial"/>
          <w:color w:val="010000"/>
          <w:sz w:val="20"/>
        </w:rPr>
        <w:t>Ensure capital sources for production and business activities;</w:t>
      </w:r>
    </w:p>
    <w:p w:rsidR="00894661" w:rsidRPr="00CF58C2" w:rsidRDefault="00CF58C2" w:rsidP="00CF58C2">
      <w:pPr>
        <w:numPr>
          <w:ilvl w:val="0"/>
          <w:numId w:val="1"/>
        </w:numPr>
        <w:pBdr>
          <w:top w:val="nil"/>
          <w:left w:val="nil"/>
          <w:bottom w:val="nil"/>
          <w:right w:val="nil"/>
          <w:between w:val="nil"/>
        </w:pBdr>
        <w:tabs>
          <w:tab w:val="left" w:pos="360"/>
          <w:tab w:val="left" w:pos="739"/>
        </w:tabs>
        <w:spacing w:after="120" w:line="360" w:lineRule="auto"/>
        <w:rPr>
          <w:rFonts w:ascii="Arial" w:eastAsia="Arial" w:hAnsi="Arial" w:cs="Arial"/>
          <w:color w:val="010000"/>
          <w:sz w:val="20"/>
          <w:szCs w:val="20"/>
        </w:rPr>
      </w:pPr>
      <w:r w:rsidRPr="00CF58C2">
        <w:rPr>
          <w:rFonts w:ascii="Arial" w:hAnsi="Arial" w:cs="Arial"/>
          <w:color w:val="010000"/>
          <w:sz w:val="20"/>
        </w:rPr>
        <w:t>Stick to the proposed profit target.</w:t>
      </w:r>
    </w:p>
    <w:p w:rsidR="00894661" w:rsidRPr="00CF58C2" w:rsidRDefault="00CF58C2" w:rsidP="00CF58C2">
      <w:pPr>
        <w:keepNext/>
        <w:numPr>
          <w:ilvl w:val="1"/>
          <w:numId w:val="2"/>
        </w:numPr>
        <w:pBdr>
          <w:top w:val="nil"/>
          <w:left w:val="nil"/>
          <w:bottom w:val="nil"/>
          <w:right w:val="nil"/>
          <w:between w:val="nil"/>
        </w:pBdr>
        <w:tabs>
          <w:tab w:val="left" w:pos="360"/>
          <w:tab w:val="left" w:pos="940"/>
        </w:tabs>
        <w:spacing w:after="120" w:line="360" w:lineRule="auto"/>
        <w:rPr>
          <w:rFonts w:ascii="Arial" w:eastAsia="Arial" w:hAnsi="Arial" w:cs="Arial"/>
          <w:color w:val="010000"/>
          <w:sz w:val="20"/>
          <w:szCs w:val="20"/>
        </w:rPr>
      </w:pPr>
      <w:r w:rsidRPr="00CF58C2">
        <w:rPr>
          <w:rFonts w:ascii="Arial" w:hAnsi="Arial" w:cs="Arial"/>
          <w:color w:val="010000"/>
          <w:sz w:val="20"/>
        </w:rPr>
        <w:t>Investment</w:t>
      </w:r>
      <w:r w:rsidR="00E47C87" w:rsidRPr="00CF58C2">
        <w:rPr>
          <w:rFonts w:ascii="Arial" w:hAnsi="Arial" w:cs="Arial"/>
          <w:color w:val="010000"/>
          <w:sz w:val="20"/>
        </w:rPr>
        <w:t xml:space="preserve"> works</w:t>
      </w:r>
      <w:r w:rsidRPr="00CF58C2">
        <w:rPr>
          <w:rFonts w:ascii="Arial" w:hAnsi="Arial" w:cs="Arial"/>
          <w:color w:val="010000"/>
          <w:sz w:val="20"/>
        </w:rPr>
        <w:t>:</w:t>
      </w:r>
    </w:p>
    <w:p w:rsidR="00894661" w:rsidRPr="00CF58C2" w:rsidRDefault="00CF58C2" w:rsidP="00CF58C2">
      <w:pPr>
        <w:numPr>
          <w:ilvl w:val="0"/>
          <w:numId w:val="1"/>
        </w:numPr>
        <w:pBdr>
          <w:top w:val="nil"/>
          <w:left w:val="nil"/>
          <w:bottom w:val="nil"/>
          <w:right w:val="nil"/>
          <w:between w:val="nil"/>
        </w:pBdr>
        <w:tabs>
          <w:tab w:val="left" w:pos="360"/>
          <w:tab w:val="left" w:pos="739"/>
        </w:tabs>
        <w:spacing w:after="120" w:line="360" w:lineRule="auto"/>
        <w:rPr>
          <w:rFonts w:ascii="Arial" w:eastAsia="Arial" w:hAnsi="Arial" w:cs="Arial"/>
          <w:color w:val="010000"/>
          <w:sz w:val="20"/>
          <w:szCs w:val="20"/>
        </w:rPr>
      </w:pPr>
      <w:r w:rsidRPr="00CF58C2">
        <w:rPr>
          <w:rFonts w:ascii="Arial" w:hAnsi="Arial" w:cs="Arial"/>
          <w:color w:val="010000"/>
          <w:sz w:val="20"/>
        </w:rPr>
        <w:t xml:space="preserve">Implement the investment project "Investment in additional cross-grained material spreading vehicles installed for the production line of sintered stone products at </w:t>
      </w:r>
      <w:proofErr w:type="spellStart"/>
      <w:r w:rsidR="00E47C87" w:rsidRPr="00CF58C2">
        <w:rPr>
          <w:rFonts w:ascii="Arial" w:hAnsi="Arial" w:cs="Arial"/>
          <w:color w:val="010000"/>
          <w:sz w:val="20"/>
        </w:rPr>
        <w:t>Viglacera</w:t>
      </w:r>
      <w:proofErr w:type="spellEnd"/>
      <w:r w:rsidR="00E47C87" w:rsidRPr="00CF58C2">
        <w:rPr>
          <w:rFonts w:ascii="Arial" w:hAnsi="Arial" w:cs="Arial"/>
          <w:color w:val="010000"/>
          <w:sz w:val="20"/>
        </w:rPr>
        <w:t xml:space="preserve"> </w:t>
      </w:r>
      <w:proofErr w:type="spellStart"/>
      <w:r w:rsidR="00E47C87" w:rsidRPr="00CF58C2">
        <w:rPr>
          <w:rFonts w:ascii="Arial" w:hAnsi="Arial" w:cs="Arial"/>
          <w:color w:val="010000"/>
          <w:sz w:val="20"/>
        </w:rPr>
        <w:t>EuroTile</w:t>
      </w:r>
      <w:proofErr w:type="spellEnd"/>
      <w:r w:rsidR="00E47C87" w:rsidRPr="00CF58C2">
        <w:rPr>
          <w:rFonts w:ascii="Arial" w:hAnsi="Arial" w:cs="Arial"/>
          <w:color w:val="010000"/>
          <w:sz w:val="20"/>
        </w:rPr>
        <w:t xml:space="preserve"> Tile Factory</w:t>
      </w:r>
      <w:r w:rsidRPr="00CF58C2">
        <w:rPr>
          <w:rFonts w:ascii="Arial" w:hAnsi="Arial" w:cs="Arial"/>
          <w:color w:val="010000"/>
          <w:sz w:val="20"/>
        </w:rPr>
        <w:t>".</w:t>
      </w:r>
    </w:p>
    <w:p w:rsidR="00894661" w:rsidRPr="00CF58C2" w:rsidRDefault="00CF58C2" w:rsidP="00CF58C2">
      <w:pPr>
        <w:keepNext/>
        <w:numPr>
          <w:ilvl w:val="1"/>
          <w:numId w:val="2"/>
        </w:numPr>
        <w:pBdr>
          <w:top w:val="nil"/>
          <w:left w:val="nil"/>
          <w:bottom w:val="nil"/>
          <w:right w:val="nil"/>
          <w:between w:val="nil"/>
        </w:pBdr>
        <w:tabs>
          <w:tab w:val="left" w:pos="360"/>
          <w:tab w:val="left" w:pos="935"/>
        </w:tabs>
        <w:spacing w:after="120" w:line="360" w:lineRule="auto"/>
        <w:rPr>
          <w:rFonts w:ascii="Arial" w:eastAsia="Arial" w:hAnsi="Arial" w:cs="Arial"/>
          <w:color w:val="010000"/>
          <w:sz w:val="20"/>
          <w:szCs w:val="20"/>
        </w:rPr>
      </w:pPr>
      <w:r w:rsidRPr="00CF58C2">
        <w:rPr>
          <w:rFonts w:ascii="Arial" w:hAnsi="Arial" w:cs="Arial"/>
          <w:color w:val="010000"/>
          <w:sz w:val="20"/>
        </w:rPr>
        <w:t>Other work</w:t>
      </w:r>
      <w:r w:rsidR="00E47C87" w:rsidRPr="00CF58C2">
        <w:rPr>
          <w:rFonts w:ascii="Arial" w:hAnsi="Arial" w:cs="Arial"/>
          <w:color w:val="010000"/>
          <w:sz w:val="20"/>
        </w:rPr>
        <w:t>s</w:t>
      </w:r>
      <w:r w:rsidRPr="00CF58C2">
        <w:rPr>
          <w:rFonts w:ascii="Arial" w:hAnsi="Arial" w:cs="Arial"/>
          <w:color w:val="010000"/>
          <w:sz w:val="20"/>
        </w:rPr>
        <w:t>:</w:t>
      </w:r>
    </w:p>
    <w:p w:rsidR="00894661" w:rsidRPr="00CF58C2" w:rsidRDefault="00CF58C2" w:rsidP="00CF58C2">
      <w:pPr>
        <w:numPr>
          <w:ilvl w:val="0"/>
          <w:numId w:val="1"/>
        </w:num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CF58C2">
        <w:rPr>
          <w:rFonts w:ascii="Arial" w:hAnsi="Arial" w:cs="Arial"/>
          <w:color w:val="010000"/>
          <w:sz w:val="20"/>
        </w:rPr>
        <w:t>Authorize the Company Manager to proceed with the review and assets liquidation at the two Factories to clear land for project implementation and capital recovery, based on compliance with the Financial Management Regulations and the Company’s Charter, ensuring production and business results according to the plan.</w:t>
      </w:r>
    </w:p>
    <w:sectPr w:rsidR="00894661" w:rsidRPr="00CF58C2" w:rsidSect="00CF58C2">
      <w:pgSz w:w="11906" w:h="16838"/>
      <w:pgMar w:top="1440" w:right="1440" w:bottom="1440" w:left="1440" w:header="0" w:footer="3"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43121"/>
    <w:multiLevelType w:val="multilevel"/>
    <w:tmpl w:val="C35A071C"/>
    <w:lvl w:ilvl="0">
      <w:start w:val="1"/>
      <w:numFmt w:val="bullet"/>
      <w:lvlText w:val="-"/>
      <w:lvlJc w:val="left"/>
      <w:pPr>
        <w:ind w:left="0" w:firstLine="0"/>
      </w:pPr>
      <w:rPr>
        <w:rFonts w:ascii="Arial" w:eastAsia="Arial" w:hAnsi="Arial" w:cs="Arial"/>
        <w:b w:val="0"/>
        <w:i w:val="0"/>
        <w:smallCaps w:val="0"/>
        <w:strike w:val="0"/>
        <w:color w:val="6F7E84"/>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4D8E75E3"/>
    <w:multiLevelType w:val="multilevel"/>
    <w:tmpl w:val="17103ECE"/>
    <w:lvl w:ilvl="0">
      <w:start w:val="1"/>
      <w:numFmt w:val="bullet"/>
      <w:lvlText w:val="•"/>
      <w:lvlJc w:val="left"/>
      <w:pPr>
        <w:ind w:left="0" w:firstLine="0"/>
      </w:pPr>
      <w:rPr>
        <w:rFonts w:ascii="Arial" w:eastAsia="Arial" w:hAnsi="Arial" w:cs="Arial"/>
        <w:b w:val="0"/>
        <w:i w:val="0"/>
        <w:smallCaps w:val="0"/>
        <w:strike w:val="0"/>
        <w:color w:val="374A54"/>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7B164AA5"/>
    <w:multiLevelType w:val="multilevel"/>
    <w:tmpl w:val="A2089F36"/>
    <w:lvl w:ilvl="0">
      <w:start w:val="1"/>
      <w:numFmt w:val="decimal"/>
      <w:lvlText w:val="%1."/>
      <w:lvlJc w:val="left"/>
      <w:pPr>
        <w:ind w:left="0" w:firstLine="0"/>
      </w:pPr>
      <w:rPr>
        <w:rFonts w:ascii="Arial" w:eastAsia="Arial" w:hAnsi="Arial" w:cs="Arial"/>
        <w:b w:val="0"/>
        <w:i w:val="0"/>
        <w:smallCaps w:val="0"/>
        <w:strike w:val="0"/>
        <w:color w:val="374A54"/>
        <w:sz w:val="20"/>
        <w:szCs w:val="20"/>
        <w:highlight w:val="white"/>
        <w:u w:val="none"/>
        <w:vertAlign w:val="baseline"/>
      </w:rPr>
    </w:lvl>
    <w:lvl w:ilvl="1">
      <w:start w:val="1"/>
      <w:numFmt w:val="decimal"/>
      <w:lvlText w:val="%1.%2."/>
      <w:lvlJc w:val="left"/>
      <w:pPr>
        <w:ind w:left="0" w:firstLine="0"/>
      </w:pPr>
      <w:rPr>
        <w:rFonts w:ascii="Arial" w:eastAsia="Arial" w:hAnsi="Arial" w:cs="Arial"/>
        <w:b w:val="0"/>
        <w:i w:val="0"/>
        <w:smallCaps w:val="0"/>
        <w:strike w:val="0"/>
        <w:color w:val="auto"/>
        <w:sz w:val="20"/>
        <w:szCs w:val="20"/>
        <w:highlight w:val="white"/>
        <w:u w:val="none"/>
        <w:vertAlign w:val="baseline"/>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661"/>
    <w:rsid w:val="00894661"/>
    <w:rsid w:val="008B78E5"/>
    <w:rsid w:val="009A7A1D"/>
    <w:rsid w:val="00CF58C2"/>
    <w:rsid w:val="00E47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B04CA"/>
  <w15:docId w15:val="{E8396253-7D56-4519-90B8-DB9C1FD4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color w:val="374A54"/>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374A54"/>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1"/>
      <w:szCs w:val="11"/>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color w:val="374A54"/>
      <w:sz w:val="30"/>
      <w:szCs w:val="3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color w:val="374A54"/>
      <w:u w:val="none"/>
      <w:shd w:val="clear" w:color="auto" w:fill="auto"/>
    </w:rPr>
  </w:style>
  <w:style w:type="character" w:customStyle="1" w:styleId="Bodytext4">
    <w:name w:val="Body text (4)_"/>
    <w:basedOn w:val="DefaultParagraphFont"/>
    <w:link w:val="Bodytext40"/>
    <w:rPr>
      <w:rFonts w:ascii="Arial" w:eastAsia="Arial" w:hAnsi="Arial" w:cs="Arial"/>
      <w:b/>
      <w:bCs/>
      <w:i w:val="0"/>
      <w:iCs w:val="0"/>
      <w:smallCaps w:val="0"/>
      <w:strike w:val="0"/>
      <w:color w:val="DB597C"/>
      <w:sz w:val="18"/>
      <w:szCs w:val="18"/>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color w:val="374A54"/>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374A54"/>
      <w:sz w:val="20"/>
      <w:szCs w:val="20"/>
      <w:u w:val="none"/>
      <w:shd w:val="clear" w:color="auto" w:fill="auto"/>
    </w:rPr>
  </w:style>
  <w:style w:type="paragraph" w:customStyle="1" w:styleId="Heading21">
    <w:name w:val="Heading #2"/>
    <w:basedOn w:val="Normal"/>
    <w:link w:val="Heading20"/>
    <w:pPr>
      <w:spacing w:line="298" w:lineRule="auto"/>
      <w:ind w:firstLine="370"/>
      <w:outlineLvl w:val="1"/>
    </w:pPr>
    <w:rPr>
      <w:rFonts w:ascii="Times New Roman" w:eastAsia="Times New Roman" w:hAnsi="Times New Roman" w:cs="Times New Roman"/>
      <w:b/>
      <w:bCs/>
      <w:color w:val="374A54"/>
    </w:rPr>
  </w:style>
  <w:style w:type="paragraph" w:styleId="BodyText">
    <w:name w:val="Body Text"/>
    <w:basedOn w:val="Normal"/>
    <w:link w:val="BodyTextChar"/>
    <w:qFormat/>
    <w:pPr>
      <w:spacing w:line="298" w:lineRule="auto"/>
    </w:pPr>
    <w:rPr>
      <w:rFonts w:ascii="Times New Roman" w:eastAsia="Times New Roman" w:hAnsi="Times New Roman" w:cs="Times New Roman"/>
      <w:color w:val="374A54"/>
    </w:rPr>
  </w:style>
  <w:style w:type="paragraph" w:customStyle="1" w:styleId="Bodytext30">
    <w:name w:val="Body text (3)"/>
    <w:basedOn w:val="Normal"/>
    <w:link w:val="Bodytext3"/>
    <w:pPr>
      <w:spacing w:line="209" w:lineRule="auto"/>
      <w:ind w:firstLine="380"/>
    </w:pPr>
    <w:rPr>
      <w:rFonts w:ascii="Arial" w:eastAsia="Arial" w:hAnsi="Arial" w:cs="Arial"/>
      <w:sz w:val="11"/>
      <w:szCs w:val="11"/>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color w:val="374A54"/>
      <w:sz w:val="30"/>
      <w:szCs w:val="30"/>
    </w:rPr>
  </w:style>
  <w:style w:type="paragraph" w:customStyle="1" w:styleId="Other0">
    <w:name w:val="Other"/>
    <w:basedOn w:val="Normal"/>
    <w:link w:val="Other"/>
    <w:pPr>
      <w:spacing w:line="298" w:lineRule="auto"/>
    </w:pPr>
    <w:rPr>
      <w:rFonts w:ascii="Times New Roman" w:eastAsia="Times New Roman" w:hAnsi="Times New Roman" w:cs="Times New Roman"/>
      <w:color w:val="374A54"/>
    </w:rPr>
  </w:style>
  <w:style w:type="paragraph" w:customStyle="1" w:styleId="Bodytext40">
    <w:name w:val="Body text (4)"/>
    <w:basedOn w:val="Normal"/>
    <w:link w:val="Bodytext4"/>
    <w:pPr>
      <w:spacing w:line="250" w:lineRule="auto"/>
    </w:pPr>
    <w:rPr>
      <w:rFonts w:ascii="Arial" w:eastAsia="Arial" w:hAnsi="Arial" w:cs="Arial"/>
      <w:b/>
      <w:bCs/>
      <w:color w:val="DB597C"/>
      <w:sz w:val="18"/>
      <w:szCs w:val="18"/>
    </w:rPr>
  </w:style>
  <w:style w:type="paragraph" w:customStyle="1" w:styleId="Tablecaption0">
    <w:name w:val="Table caption"/>
    <w:basedOn w:val="Normal"/>
    <w:link w:val="Tablecaption"/>
    <w:rPr>
      <w:rFonts w:ascii="Times New Roman" w:eastAsia="Times New Roman" w:hAnsi="Times New Roman" w:cs="Times New Roman"/>
      <w:b/>
      <w:bCs/>
      <w:color w:val="374A54"/>
    </w:rPr>
  </w:style>
  <w:style w:type="paragraph" w:customStyle="1" w:styleId="Bodytext20">
    <w:name w:val="Body text (2)"/>
    <w:basedOn w:val="Normal"/>
    <w:link w:val="Bodytext2"/>
    <w:pPr>
      <w:ind w:firstLine="380"/>
    </w:pPr>
    <w:rPr>
      <w:rFonts w:ascii="Times New Roman" w:eastAsia="Times New Roman" w:hAnsi="Times New Roman" w:cs="Times New Roman"/>
      <w:color w:val="374A54"/>
      <w:sz w:val="20"/>
      <w:szCs w:val="20"/>
    </w:rPr>
  </w:style>
  <w:style w:type="paragraph" w:styleId="NormalWeb">
    <w:name w:val="Normal (Web)"/>
    <w:basedOn w:val="Normal"/>
    <w:uiPriority w:val="99"/>
    <w:semiHidden/>
    <w:unhideWhenUsed/>
    <w:rsid w:val="00544055"/>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keqyd9RRG985XwRlf5+68aX8bg==">CgMxLjA4AHIhMWlzVDVzNVRic2Jad3RmeTQ0VmdjMlpLMFoyci1kaGE3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2024-08-08T03:57:00Z</dcterms:created>
  <dcterms:modified xsi:type="dcterms:W3CDTF">2024-08-08T03:57:00Z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08b536fa49e71b38ee065320f1c88ed722a8c0ed5e83372315989a4361fa30b8</vt:lpwstr>
  </property>
</Properties>
</file>