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225BC" w:rsidRPr="006F3841" w:rsidRDefault="006F3841" w:rsidP="007F7359">
      <w:pPr>
        <w:pBdr>
          <w:top w:val="nil"/>
          <w:left w:val="nil"/>
          <w:bottom w:val="nil"/>
          <w:right w:val="nil"/>
          <w:between w:val="nil"/>
        </w:pBdr>
        <w:spacing w:after="120" w:line="360" w:lineRule="auto"/>
        <w:jc w:val="both"/>
        <w:rPr>
          <w:rFonts w:ascii="Arial" w:eastAsia="Arial" w:hAnsi="Arial" w:cs="Arial"/>
          <w:b/>
          <w:color w:val="010000"/>
          <w:sz w:val="20"/>
          <w:szCs w:val="20"/>
        </w:rPr>
      </w:pPr>
      <w:r w:rsidRPr="006F3841">
        <w:rPr>
          <w:rFonts w:ascii="Arial" w:hAnsi="Arial" w:cs="Arial"/>
          <w:b/>
          <w:color w:val="010000"/>
          <w:sz w:val="20"/>
        </w:rPr>
        <w:t>SLS: Board Resolution</w:t>
      </w:r>
    </w:p>
    <w:p w14:paraId="00000002" w14:textId="7C01B3AB" w:rsidR="005225BC" w:rsidRPr="006F3841" w:rsidRDefault="006F3841" w:rsidP="007F7359">
      <w:pPr>
        <w:pBdr>
          <w:top w:val="nil"/>
          <w:left w:val="nil"/>
          <w:bottom w:val="nil"/>
          <w:right w:val="nil"/>
          <w:between w:val="nil"/>
        </w:pBdr>
        <w:spacing w:after="120" w:line="360" w:lineRule="auto"/>
        <w:jc w:val="both"/>
        <w:rPr>
          <w:rFonts w:ascii="Arial" w:eastAsia="Arial" w:hAnsi="Arial" w:cs="Arial"/>
          <w:color w:val="010000"/>
          <w:sz w:val="20"/>
          <w:szCs w:val="20"/>
        </w:rPr>
      </w:pPr>
      <w:r w:rsidRPr="006F3841">
        <w:rPr>
          <w:rFonts w:ascii="Arial" w:hAnsi="Arial" w:cs="Arial"/>
          <w:color w:val="010000"/>
          <w:sz w:val="20"/>
        </w:rPr>
        <w:t>On September 09, 2024, Son La Sugar Joint Stock Company announced Resolution No. 29/NQ-HDQT/2024 as follows:</w:t>
      </w:r>
      <w:bookmarkStart w:id="0" w:name="_GoBack"/>
      <w:bookmarkEnd w:id="0"/>
    </w:p>
    <w:p w14:paraId="00000003" w14:textId="77777777" w:rsidR="005225BC" w:rsidRPr="006F3841" w:rsidRDefault="006F3841" w:rsidP="007F7359">
      <w:pPr>
        <w:pBdr>
          <w:top w:val="nil"/>
          <w:left w:val="nil"/>
          <w:bottom w:val="nil"/>
          <w:right w:val="nil"/>
          <w:between w:val="nil"/>
        </w:pBdr>
        <w:spacing w:after="120" w:line="360" w:lineRule="auto"/>
        <w:jc w:val="both"/>
        <w:rPr>
          <w:rFonts w:ascii="Arial" w:eastAsia="Arial" w:hAnsi="Arial" w:cs="Arial"/>
          <w:color w:val="010000"/>
          <w:sz w:val="20"/>
          <w:szCs w:val="20"/>
        </w:rPr>
      </w:pPr>
      <w:r w:rsidRPr="006F3841">
        <w:rPr>
          <w:rFonts w:ascii="Arial" w:hAnsi="Arial" w:cs="Arial"/>
          <w:color w:val="010000"/>
          <w:sz w:val="20"/>
        </w:rPr>
        <w:t>‎‎Article 1. Approve the dividend payment for the period of 2023 - 2024, with the following specific contents:</w:t>
      </w:r>
    </w:p>
    <w:p w14:paraId="00000004" w14:textId="77777777" w:rsidR="005225BC" w:rsidRPr="006F3841" w:rsidRDefault="006F3841" w:rsidP="007F7359">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6F3841">
        <w:rPr>
          <w:rFonts w:ascii="Arial" w:hAnsi="Arial" w:cs="Arial"/>
          <w:color w:val="010000"/>
          <w:sz w:val="20"/>
        </w:rPr>
        <w:t>Share name: SLS</w:t>
      </w:r>
    </w:p>
    <w:p w14:paraId="00000005" w14:textId="77777777" w:rsidR="005225BC" w:rsidRPr="006F3841" w:rsidRDefault="006F3841" w:rsidP="007F7359">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6F3841">
        <w:rPr>
          <w:rFonts w:ascii="Arial" w:hAnsi="Arial" w:cs="Arial"/>
          <w:color w:val="010000"/>
          <w:sz w:val="20"/>
        </w:rPr>
        <w:t>Type of shares: common shares.</w:t>
      </w:r>
    </w:p>
    <w:p w14:paraId="00000006" w14:textId="77777777" w:rsidR="005225BC" w:rsidRPr="006F3841" w:rsidRDefault="006F3841" w:rsidP="007F7359">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6F3841">
        <w:rPr>
          <w:rFonts w:ascii="Arial" w:hAnsi="Arial" w:cs="Arial"/>
          <w:color w:val="010000"/>
          <w:sz w:val="20"/>
        </w:rPr>
        <w:t>Par value: VND10,000.</w:t>
      </w:r>
    </w:p>
    <w:p w14:paraId="00000007" w14:textId="77777777" w:rsidR="005225BC" w:rsidRPr="006F3841" w:rsidRDefault="006F3841" w:rsidP="007F7359">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6F3841">
        <w:rPr>
          <w:rFonts w:ascii="Arial" w:hAnsi="Arial" w:cs="Arial"/>
          <w:color w:val="010000"/>
          <w:sz w:val="20"/>
        </w:rPr>
        <w:t>Number of outstanding shares: 9,791,945 shares.</w:t>
      </w:r>
    </w:p>
    <w:p w14:paraId="00000008" w14:textId="77777777" w:rsidR="005225BC" w:rsidRPr="006F3841" w:rsidRDefault="006F3841" w:rsidP="007F7359">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6F3841">
        <w:rPr>
          <w:rFonts w:ascii="Arial" w:hAnsi="Arial" w:cs="Arial"/>
          <w:color w:val="010000"/>
          <w:sz w:val="20"/>
        </w:rPr>
        <w:t>Exercise rate: 200%/share (shareholders receive VND20,000 for every share they own).</w:t>
      </w:r>
    </w:p>
    <w:p w14:paraId="00000009" w14:textId="77777777" w:rsidR="005225BC" w:rsidRPr="006F3841" w:rsidRDefault="006F3841" w:rsidP="007F7359">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6F3841">
        <w:rPr>
          <w:rFonts w:ascii="Arial" w:hAnsi="Arial" w:cs="Arial"/>
          <w:color w:val="010000"/>
          <w:sz w:val="20"/>
        </w:rPr>
        <w:t xml:space="preserve">Dividend payment amount = VND195,838,900,000. </w:t>
      </w:r>
    </w:p>
    <w:p w14:paraId="0000000A" w14:textId="77777777" w:rsidR="005225BC" w:rsidRPr="006F3841" w:rsidRDefault="006F3841" w:rsidP="007F7359">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6F3841">
        <w:rPr>
          <w:rFonts w:ascii="Arial" w:hAnsi="Arial" w:cs="Arial"/>
          <w:color w:val="010000"/>
          <w:sz w:val="20"/>
        </w:rPr>
        <w:t>Record date: September 25, 2024.</w:t>
      </w:r>
    </w:p>
    <w:p w14:paraId="0000000B" w14:textId="77777777" w:rsidR="005225BC" w:rsidRPr="006F3841" w:rsidRDefault="006F3841" w:rsidP="007F7359">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6F3841">
        <w:rPr>
          <w:rFonts w:ascii="Arial" w:hAnsi="Arial" w:cs="Arial"/>
          <w:color w:val="010000"/>
          <w:sz w:val="20"/>
        </w:rPr>
        <w:t>Payment time: From October 16, 2024.</w:t>
      </w:r>
    </w:p>
    <w:p w14:paraId="0000000C" w14:textId="77777777" w:rsidR="005225BC" w:rsidRPr="006F3841" w:rsidRDefault="006F3841" w:rsidP="007F7359">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6F3841">
        <w:rPr>
          <w:rFonts w:ascii="Arial" w:hAnsi="Arial" w:cs="Arial"/>
          <w:color w:val="010000"/>
          <w:sz w:val="20"/>
        </w:rPr>
        <w:t>Entitled subjects: Existing shareholders on the List on the record date for the list of shareholders to exercise the rights to receive and pay dividends for the period of 2023 -2024 in cash.</w:t>
      </w:r>
    </w:p>
    <w:p w14:paraId="0000000D" w14:textId="77777777" w:rsidR="005225BC" w:rsidRPr="006F3841" w:rsidRDefault="006F3841" w:rsidP="007F7359">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6F3841">
        <w:rPr>
          <w:rFonts w:ascii="Arial" w:hAnsi="Arial" w:cs="Arial"/>
          <w:color w:val="010000"/>
          <w:sz w:val="20"/>
        </w:rPr>
        <w:t>Capital source: Remaining undistributed profit after tax of the period 2023 -2024.</w:t>
      </w:r>
    </w:p>
    <w:p w14:paraId="0000000E" w14:textId="77777777" w:rsidR="005225BC" w:rsidRPr="006F3841" w:rsidRDefault="006F3841" w:rsidP="007F7359">
      <w:pPr>
        <w:pBdr>
          <w:top w:val="nil"/>
          <w:left w:val="nil"/>
          <w:bottom w:val="nil"/>
          <w:right w:val="nil"/>
          <w:between w:val="nil"/>
        </w:pBdr>
        <w:spacing w:after="120" w:line="360" w:lineRule="auto"/>
        <w:jc w:val="both"/>
        <w:rPr>
          <w:rFonts w:ascii="Arial" w:eastAsia="Arial" w:hAnsi="Arial" w:cs="Arial"/>
          <w:color w:val="010000"/>
          <w:sz w:val="20"/>
          <w:szCs w:val="20"/>
        </w:rPr>
      </w:pPr>
      <w:r w:rsidRPr="006F3841">
        <w:rPr>
          <w:rFonts w:ascii="Arial" w:hAnsi="Arial" w:cs="Arial"/>
          <w:color w:val="010000"/>
          <w:sz w:val="20"/>
        </w:rPr>
        <w:t>‎‎Article 2. The Board of Directors assigned the General Manager to directly direct relevant units and individuals to prepare the conditions for organizing the dividend payment to shareholders for the period of 2023 - 2024.</w:t>
      </w:r>
    </w:p>
    <w:p w14:paraId="0000000F" w14:textId="77777777" w:rsidR="005225BC" w:rsidRPr="006F3841" w:rsidRDefault="006F3841" w:rsidP="007F7359">
      <w:pPr>
        <w:numPr>
          <w:ilvl w:val="0"/>
          <w:numId w:val="2"/>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6F3841">
        <w:rPr>
          <w:rFonts w:ascii="Arial" w:hAnsi="Arial" w:cs="Arial"/>
          <w:color w:val="010000"/>
          <w:sz w:val="20"/>
        </w:rPr>
        <w:t>Assign the Secretariat of the Company to notify the Vietnam Securities Depository and Clearing Corporation about the record date to exercise the rights to pay dividends for the period of 2023 - 2024.</w:t>
      </w:r>
    </w:p>
    <w:p w14:paraId="00000010" w14:textId="5D6F8324" w:rsidR="005225BC" w:rsidRPr="006F3841" w:rsidRDefault="006F3841" w:rsidP="007F7359">
      <w:pPr>
        <w:numPr>
          <w:ilvl w:val="0"/>
          <w:numId w:val="2"/>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6F3841">
        <w:rPr>
          <w:rFonts w:ascii="Arial" w:hAnsi="Arial" w:cs="Arial"/>
          <w:color w:val="010000"/>
          <w:sz w:val="20"/>
        </w:rPr>
        <w:t>Assign the General Manager of the Company to prepare the financial resources to pay dividends to shareholders in accordance with regulations.</w:t>
      </w:r>
    </w:p>
    <w:p w14:paraId="00000011" w14:textId="77777777" w:rsidR="005225BC" w:rsidRPr="006F3841" w:rsidRDefault="006F3841" w:rsidP="007F7359">
      <w:pPr>
        <w:pBdr>
          <w:top w:val="nil"/>
          <w:left w:val="nil"/>
          <w:bottom w:val="nil"/>
          <w:right w:val="nil"/>
          <w:between w:val="nil"/>
        </w:pBdr>
        <w:spacing w:after="120" w:line="360" w:lineRule="auto"/>
        <w:jc w:val="both"/>
        <w:rPr>
          <w:rFonts w:ascii="Arial" w:eastAsia="Arial" w:hAnsi="Arial" w:cs="Arial"/>
          <w:color w:val="010000"/>
          <w:sz w:val="20"/>
          <w:szCs w:val="20"/>
        </w:rPr>
      </w:pPr>
      <w:r w:rsidRPr="006F3841">
        <w:rPr>
          <w:rFonts w:ascii="Arial" w:hAnsi="Arial" w:cs="Arial"/>
          <w:color w:val="010000"/>
          <w:sz w:val="20"/>
        </w:rPr>
        <w:t>‎‎Article 3. This Resolution takes effect from the date of its signing. Members of the Board of Directors, the Supervisory Board, the Board of Management of the Company, relevant units and individuals are responsible for implementing this Resolution./.</w:t>
      </w:r>
    </w:p>
    <w:sectPr w:rsidR="005225BC" w:rsidRPr="006F3841" w:rsidSect="006F3841">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A58CE"/>
    <w:multiLevelType w:val="multilevel"/>
    <w:tmpl w:val="40C890D4"/>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7DE4720E"/>
    <w:multiLevelType w:val="multilevel"/>
    <w:tmpl w:val="2AF4272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BC"/>
    <w:rsid w:val="005225BC"/>
    <w:rsid w:val="006F3841"/>
    <w:rsid w:val="007F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46D196-493D-4DCD-9F4A-E587806C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sz w:val="26"/>
      <w:szCs w:val="26"/>
    </w:rPr>
  </w:style>
  <w:style w:type="paragraph" w:customStyle="1" w:styleId="Heading11">
    <w:name w:val="Heading #1"/>
    <w:basedOn w:val="Normal"/>
    <w:link w:val="Heading10"/>
    <w:pPr>
      <w:ind w:firstLine="380"/>
      <w:outlineLvl w:val="0"/>
    </w:pPr>
    <w:rPr>
      <w:rFonts w:ascii="Times New Roman" w:eastAsia="Times New Roman" w:hAnsi="Times New Roman" w:cs="Times New Roman"/>
      <w:b/>
      <w:bCs/>
      <w:sz w:val="26"/>
      <w:szCs w:val="26"/>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eUGeaGE5c7BOOBPo6qQBRrex/w==">CgMxLjA4AHIhMTRNSWtMYlhCdXJVLXM0TGMzY3hLcDktTlNGOGM1ME1O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246</Words>
  <Characters>1408</Characters>
  <Application>Microsoft Office Word</Application>
  <DocSecurity>0</DocSecurity>
  <Lines>11</Lines>
  <Paragraphs>3</Paragraphs>
  <ScaleCrop>false</ScaleCrop>
  <Company>Microsoft</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2024-09-13T03:20:00Z</dcterms:created>
  <dcterms:modified xsi:type="dcterms:W3CDTF">2024-09-16T04:00:00Z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a78f15751b06cd843d343c5f3f110853bae611fc87f0558c8296cecb70cf2a32</vt:lpwstr>
  </property>
</Properties>
</file>