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E508A" w:rsidRPr="00FE6E1A" w:rsidRDefault="0037372E" w:rsidP="00043906">
      <w:pPr>
        <w:tabs>
          <w:tab w:val="left" w:pos="432"/>
        </w:tabs>
        <w:spacing w:after="120" w:line="360" w:lineRule="auto"/>
        <w:jc w:val="both"/>
        <w:rPr>
          <w:rFonts w:ascii="Arial" w:eastAsia="Arial" w:hAnsi="Arial" w:cs="Arial"/>
          <w:b/>
          <w:color w:val="010000"/>
          <w:sz w:val="20"/>
          <w:szCs w:val="20"/>
        </w:rPr>
      </w:pPr>
      <w:r w:rsidRPr="00FE6E1A">
        <w:rPr>
          <w:rFonts w:ascii="Arial" w:hAnsi="Arial"/>
          <w:b/>
          <w:color w:val="010000"/>
          <w:sz w:val="20"/>
        </w:rPr>
        <w:t>BMS: Board Resolution</w:t>
      </w:r>
    </w:p>
    <w:p w14:paraId="00000002" w14:textId="77777777" w:rsidR="001E508A" w:rsidRPr="00FE6E1A" w:rsidRDefault="0037372E" w:rsidP="00043906">
      <w:pPr>
        <w:tabs>
          <w:tab w:val="left" w:pos="432"/>
        </w:tabs>
        <w:spacing w:after="120" w:line="360" w:lineRule="auto"/>
        <w:jc w:val="both"/>
        <w:rPr>
          <w:rFonts w:ascii="Arial" w:eastAsia="Arial" w:hAnsi="Arial" w:cs="Arial"/>
          <w:color w:val="010000"/>
          <w:sz w:val="20"/>
          <w:szCs w:val="20"/>
        </w:rPr>
      </w:pPr>
      <w:r w:rsidRPr="00FE6E1A">
        <w:rPr>
          <w:rFonts w:ascii="Arial" w:hAnsi="Arial"/>
          <w:color w:val="010000"/>
          <w:sz w:val="20"/>
        </w:rPr>
        <w:t xml:space="preserve">On September 11, 2024, </w:t>
      </w:r>
      <w:proofErr w:type="spellStart"/>
      <w:r w:rsidRPr="00FE6E1A">
        <w:rPr>
          <w:rFonts w:ascii="Arial" w:hAnsi="Arial"/>
          <w:color w:val="010000"/>
          <w:sz w:val="20"/>
        </w:rPr>
        <w:t>Bao</w:t>
      </w:r>
      <w:proofErr w:type="spellEnd"/>
      <w:r w:rsidRPr="00FE6E1A">
        <w:rPr>
          <w:rFonts w:ascii="Arial" w:hAnsi="Arial"/>
          <w:color w:val="010000"/>
          <w:sz w:val="20"/>
        </w:rPr>
        <w:t xml:space="preserve"> Minh Securities Company announced Resolution No. 38/2024-BMSC/NQ-HDQT as follows:</w:t>
      </w:r>
    </w:p>
    <w:p w14:paraId="00000003" w14:textId="461C4A2B" w:rsidR="001E508A" w:rsidRPr="00FE6E1A" w:rsidRDefault="0037372E" w:rsidP="00043906">
      <w:pPr>
        <w:tabs>
          <w:tab w:val="left" w:pos="432"/>
        </w:tabs>
        <w:spacing w:after="120" w:line="360" w:lineRule="auto"/>
        <w:jc w:val="both"/>
        <w:rPr>
          <w:rFonts w:ascii="Arial" w:eastAsia="Arial" w:hAnsi="Arial" w:cs="Arial"/>
          <w:color w:val="010000"/>
          <w:sz w:val="20"/>
          <w:szCs w:val="20"/>
        </w:rPr>
      </w:pPr>
      <w:r w:rsidRPr="00FE6E1A">
        <w:rPr>
          <w:rFonts w:ascii="Arial" w:hAnsi="Arial"/>
          <w:color w:val="010000"/>
          <w:sz w:val="20"/>
        </w:rPr>
        <w:t xml:space="preserve">Article 1. Approve the plan on </w:t>
      </w:r>
      <w:r w:rsidRPr="00FE6E1A">
        <w:rPr>
          <w:rFonts w:ascii="Arial" w:hAnsi="Arial"/>
          <w:color w:val="010000"/>
          <w:sz w:val="20"/>
          <w:lang w:val="vi-VN"/>
        </w:rPr>
        <w:t xml:space="preserve">the second </w:t>
      </w:r>
      <w:r w:rsidRPr="00FE6E1A">
        <w:rPr>
          <w:rFonts w:ascii="Arial" w:hAnsi="Arial"/>
          <w:color w:val="010000"/>
          <w:sz w:val="20"/>
        </w:rPr>
        <w:t>private placement of bonds in 2024.</w:t>
      </w:r>
    </w:p>
    <w:p w14:paraId="00000004" w14:textId="77777777" w:rsidR="001E508A" w:rsidRPr="00FE6E1A" w:rsidRDefault="0037372E" w:rsidP="00043906">
      <w:pPr>
        <w:tabs>
          <w:tab w:val="left" w:pos="432"/>
        </w:tabs>
        <w:spacing w:after="120" w:line="360" w:lineRule="auto"/>
        <w:jc w:val="both"/>
        <w:rPr>
          <w:rFonts w:ascii="Arial" w:eastAsia="Arial" w:hAnsi="Arial" w:cs="Arial"/>
          <w:color w:val="010000"/>
          <w:sz w:val="20"/>
          <w:szCs w:val="20"/>
        </w:rPr>
      </w:pPr>
      <w:r w:rsidRPr="00FE6E1A">
        <w:rPr>
          <w:rFonts w:ascii="Arial" w:hAnsi="Arial"/>
          <w:color w:val="010000"/>
          <w:sz w:val="20"/>
        </w:rPr>
        <w:t>Article 2: Approve on implementing centralized depository registration for all successfully issued bonds at the Vietnam Securities Depository and Clearing Corporation in accordance with the provisions of law.</w:t>
      </w:r>
    </w:p>
    <w:p w14:paraId="00000005" w14:textId="77777777" w:rsidR="001E508A" w:rsidRPr="00FE6E1A" w:rsidRDefault="0037372E" w:rsidP="00043906">
      <w:pPr>
        <w:tabs>
          <w:tab w:val="left" w:pos="432"/>
        </w:tabs>
        <w:spacing w:after="120" w:line="360" w:lineRule="auto"/>
        <w:jc w:val="both"/>
        <w:rPr>
          <w:rFonts w:ascii="Arial" w:eastAsia="Arial" w:hAnsi="Arial" w:cs="Arial"/>
          <w:color w:val="010000"/>
          <w:sz w:val="20"/>
          <w:szCs w:val="20"/>
        </w:rPr>
      </w:pPr>
      <w:r w:rsidRPr="00FE6E1A">
        <w:rPr>
          <w:rFonts w:ascii="Arial" w:hAnsi="Arial"/>
          <w:color w:val="010000"/>
          <w:sz w:val="20"/>
        </w:rPr>
        <w:t>Article 3: Approve on implementing trading registration for all successfully issued bonds on the Private corporate bond trading system at the Stock Exchange in accordance with the provisions of law.</w:t>
      </w:r>
    </w:p>
    <w:p w14:paraId="00000006" w14:textId="77777777" w:rsidR="001E508A" w:rsidRPr="00FE6E1A" w:rsidRDefault="0037372E" w:rsidP="00043906">
      <w:pPr>
        <w:tabs>
          <w:tab w:val="left" w:pos="432"/>
        </w:tabs>
        <w:spacing w:after="120" w:line="360" w:lineRule="auto"/>
        <w:jc w:val="both"/>
        <w:rPr>
          <w:rFonts w:ascii="Arial" w:eastAsia="Arial" w:hAnsi="Arial" w:cs="Arial"/>
          <w:color w:val="010000"/>
          <w:sz w:val="20"/>
          <w:szCs w:val="20"/>
        </w:rPr>
      </w:pPr>
      <w:r w:rsidRPr="00FE6E1A">
        <w:rPr>
          <w:rFonts w:ascii="Arial" w:hAnsi="Arial"/>
          <w:color w:val="010000"/>
          <w:sz w:val="20"/>
        </w:rPr>
        <w:t xml:space="preserve">Article 4: Assign Mr. Phan Tan Thu - the General Manager, the legal representative of </w:t>
      </w:r>
      <w:proofErr w:type="spellStart"/>
      <w:r w:rsidRPr="00FE6E1A">
        <w:rPr>
          <w:rFonts w:ascii="Arial" w:hAnsi="Arial"/>
          <w:color w:val="010000"/>
          <w:sz w:val="20"/>
        </w:rPr>
        <w:t>Bao</w:t>
      </w:r>
      <w:proofErr w:type="spellEnd"/>
      <w:r w:rsidRPr="00FE6E1A">
        <w:rPr>
          <w:rFonts w:ascii="Arial" w:hAnsi="Arial"/>
          <w:color w:val="010000"/>
          <w:sz w:val="20"/>
        </w:rPr>
        <w:t xml:space="preserve"> Minh Securities Company to implement procedures related to this issuance, including but not limited to the following tasks:</w:t>
      </w:r>
    </w:p>
    <w:p w14:paraId="00000007" w14:textId="77777777" w:rsidR="001E508A" w:rsidRPr="00FE6E1A" w:rsidRDefault="0037372E" w:rsidP="00043906">
      <w:pPr>
        <w:numPr>
          <w:ilvl w:val="0"/>
          <w:numId w:val="1"/>
        </w:numPr>
        <w:tabs>
          <w:tab w:val="left" w:pos="432"/>
          <w:tab w:val="left" w:pos="2271"/>
        </w:tabs>
        <w:spacing w:after="120" w:line="360" w:lineRule="auto"/>
        <w:jc w:val="both"/>
        <w:rPr>
          <w:rFonts w:ascii="Arial" w:eastAsia="Arial" w:hAnsi="Arial" w:cs="Arial"/>
          <w:color w:val="010000"/>
          <w:sz w:val="20"/>
          <w:szCs w:val="20"/>
        </w:rPr>
      </w:pPr>
      <w:r w:rsidRPr="00FE6E1A">
        <w:rPr>
          <w:rFonts w:ascii="Arial" w:hAnsi="Arial"/>
          <w:color w:val="010000"/>
          <w:sz w:val="20"/>
        </w:rPr>
        <w:t>Implement the issuance plan and complete relevant procedures to implement the issuance plan approved by the Board of Directors;</w:t>
      </w:r>
    </w:p>
    <w:p w14:paraId="00000008" w14:textId="77777777" w:rsidR="001E508A" w:rsidRPr="00FE6E1A" w:rsidRDefault="0037372E" w:rsidP="00043906">
      <w:pPr>
        <w:numPr>
          <w:ilvl w:val="0"/>
          <w:numId w:val="1"/>
        </w:numPr>
        <w:tabs>
          <w:tab w:val="left" w:pos="432"/>
          <w:tab w:val="left" w:pos="2271"/>
        </w:tabs>
        <w:spacing w:after="120" w:line="360" w:lineRule="auto"/>
        <w:jc w:val="both"/>
        <w:rPr>
          <w:rFonts w:ascii="Arial" w:eastAsia="Arial" w:hAnsi="Arial" w:cs="Arial"/>
          <w:color w:val="010000"/>
          <w:sz w:val="20"/>
          <w:szCs w:val="20"/>
        </w:rPr>
      </w:pPr>
      <w:r w:rsidRPr="00FE6E1A">
        <w:rPr>
          <w:rFonts w:ascii="Arial" w:hAnsi="Arial"/>
          <w:color w:val="010000"/>
          <w:sz w:val="20"/>
        </w:rPr>
        <w:t>Negotiate and sign agreements and contracts with relevant organizations and individuals to implement the above bond issuance;</w:t>
      </w:r>
    </w:p>
    <w:p w14:paraId="00000009" w14:textId="77777777" w:rsidR="001E508A" w:rsidRPr="00FE6E1A" w:rsidRDefault="0037372E" w:rsidP="00043906">
      <w:pPr>
        <w:numPr>
          <w:ilvl w:val="0"/>
          <w:numId w:val="1"/>
        </w:numPr>
        <w:tabs>
          <w:tab w:val="left" w:pos="432"/>
          <w:tab w:val="left" w:pos="2271"/>
        </w:tabs>
        <w:spacing w:after="120" w:line="360" w:lineRule="auto"/>
        <w:jc w:val="both"/>
        <w:rPr>
          <w:rFonts w:ascii="Arial" w:eastAsia="Arial" w:hAnsi="Arial" w:cs="Arial"/>
          <w:color w:val="010000"/>
          <w:sz w:val="20"/>
          <w:szCs w:val="20"/>
        </w:rPr>
      </w:pPr>
      <w:r w:rsidRPr="00FE6E1A">
        <w:rPr>
          <w:rFonts w:ascii="Arial" w:hAnsi="Arial"/>
          <w:color w:val="010000"/>
          <w:sz w:val="20"/>
        </w:rPr>
        <w:t xml:space="preserve">Decide specifically on: Eligible buyers </w:t>
      </w:r>
      <w:r w:rsidRPr="00FE6E1A">
        <w:rPr>
          <w:rFonts w:ascii="Arial" w:hAnsi="Arial"/>
          <w:color w:val="010000"/>
          <w:sz w:val="20"/>
          <w:lang w:val="vi-VN"/>
        </w:rPr>
        <w:t xml:space="preserve">of </w:t>
      </w:r>
      <w:r w:rsidRPr="00FE6E1A">
        <w:rPr>
          <w:rFonts w:ascii="Arial" w:hAnsi="Arial"/>
          <w:color w:val="010000"/>
          <w:sz w:val="20"/>
        </w:rPr>
        <w:t xml:space="preserve">bonds, </w:t>
      </w:r>
      <w:proofErr w:type="gramStart"/>
      <w:r w:rsidRPr="00FE6E1A">
        <w:rPr>
          <w:rFonts w:ascii="Arial" w:hAnsi="Arial"/>
          <w:color w:val="010000"/>
          <w:sz w:val="20"/>
        </w:rPr>
        <w:t>The</w:t>
      </w:r>
      <w:bookmarkStart w:id="0" w:name="_GoBack"/>
      <w:bookmarkEnd w:id="0"/>
      <w:proofErr w:type="gramEnd"/>
      <w:r w:rsidRPr="00FE6E1A">
        <w:rPr>
          <w:rFonts w:ascii="Arial" w:hAnsi="Arial"/>
          <w:color w:val="010000"/>
          <w:sz w:val="20"/>
        </w:rPr>
        <w:t xml:space="preserve"> issuance date; Detailed commitments of the Issuer and detailed terms and conditions of the bonds; etc.</w:t>
      </w:r>
    </w:p>
    <w:p w14:paraId="0000000A" w14:textId="77777777" w:rsidR="001E508A" w:rsidRPr="00FE6E1A" w:rsidRDefault="0037372E" w:rsidP="00043906">
      <w:pPr>
        <w:numPr>
          <w:ilvl w:val="0"/>
          <w:numId w:val="1"/>
        </w:numPr>
        <w:tabs>
          <w:tab w:val="left" w:pos="432"/>
          <w:tab w:val="left" w:pos="2271"/>
        </w:tabs>
        <w:spacing w:after="120" w:line="360" w:lineRule="auto"/>
        <w:jc w:val="both"/>
        <w:rPr>
          <w:rFonts w:ascii="Arial" w:eastAsia="Arial" w:hAnsi="Arial" w:cs="Arial"/>
          <w:color w:val="010000"/>
          <w:sz w:val="20"/>
          <w:szCs w:val="20"/>
        </w:rPr>
      </w:pPr>
      <w:r w:rsidRPr="00FE6E1A">
        <w:rPr>
          <w:rFonts w:ascii="Arial" w:hAnsi="Arial"/>
          <w:color w:val="010000"/>
          <w:sz w:val="20"/>
        </w:rPr>
        <w:t>Approve the bond issuance dossiers in accordance with the aforementioned issuance plan and sign relevant dossiers and documents to implement the issuance plan approved by the Board of Directors;</w:t>
      </w:r>
    </w:p>
    <w:p w14:paraId="0000000B" w14:textId="77777777" w:rsidR="001E508A" w:rsidRPr="00FE6E1A" w:rsidRDefault="0037372E" w:rsidP="00043906">
      <w:pPr>
        <w:numPr>
          <w:ilvl w:val="0"/>
          <w:numId w:val="1"/>
        </w:numPr>
        <w:tabs>
          <w:tab w:val="left" w:pos="432"/>
          <w:tab w:val="left" w:pos="2271"/>
        </w:tabs>
        <w:spacing w:after="120" w:line="360" w:lineRule="auto"/>
        <w:jc w:val="both"/>
        <w:rPr>
          <w:rFonts w:ascii="Arial" w:eastAsia="Arial" w:hAnsi="Arial" w:cs="Arial"/>
          <w:color w:val="010000"/>
          <w:sz w:val="20"/>
          <w:szCs w:val="20"/>
        </w:rPr>
      </w:pPr>
      <w:r w:rsidRPr="00FE6E1A">
        <w:rPr>
          <w:rFonts w:ascii="Arial" w:hAnsi="Arial"/>
          <w:color w:val="010000"/>
          <w:sz w:val="20"/>
        </w:rPr>
        <w:t>Implement necessary procedures to centrally register and deposit bonds at Vietnam Securities Depository and Clearing Corporation and register for trading on the corporate bond trading system for private placement at the Stock Exchange;</w:t>
      </w:r>
    </w:p>
    <w:p w14:paraId="0000000C" w14:textId="77777777" w:rsidR="001E508A" w:rsidRPr="00FE6E1A" w:rsidRDefault="0037372E" w:rsidP="00043906">
      <w:pPr>
        <w:numPr>
          <w:ilvl w:val="0"/>
          <w:numId w:val="1"/>
        </w:numPr>
        <w:tabs>
          <w:tab w:val="left" w:pos="432"/>
          <w:tab w:val="left" w:pos="2271"/>
        </w:tabs>
        <w:spacing w:after="120" w:line="360" w:lineRule="auto"/>
        <w:jc w:val="both"/>
        <w:rPr>
          <w:rFonts w:ascii="Arial" w:eastAsia="Arial" w:hAnsi="Arial" w:cs="Arial"/>
          <w:color w:val="010000"/>
          <w:sz w:val="20"/>
          <w:szCs w:val="20"/>
        </w:rPr>
      </w:pPr>
      <w:r w:rsidRPr="00FE6E1A">
        <w:rPr>
          <w:rFonts w:ascii="Arial" w:hAnsi="Arial"/>
          <w:color w:val="010000"/>
          <w:sz w:val="20"/>
        </w:rPr>
        <w:t xml:space="preserve">All other tasks related to the </w:t>
      </w:r>
      <w:r w:rsidRPr="00FE6E1A">
        <w:rPr>
          <w:rFonts w:ascii="Arial" w:hAnsi="Arial"/>
          <w:color w:val="010000"/>
          <w:sz w:val="20"/>
          <w:lang w:val="vi-VN"/>
        </w:rPr>
        <w:t xml:space="preserve">bond </w:t>
      </w:r>
      <w:r w:rsidRPr="00FE6E1A">
        <w:rPr>
          <w:rFonts w:ascii="Arial" w:hAnsi="Arial"/>
          <w:color w:val="010000"/>
          <w:sz w:val="20"/>
        </w:rPr>
        <w:t>offering</w:t>
      </w:r>
      <w:r w:rsidRPr="00FE6E1A">
        <w:rPr>
          <w:rFonts w:ascii="Arial" w:hAnsi="Arial"/>
          <w:color w:val="010000"/>
          <w:sz w:val="20"/>
          <w:lang w:val="vi-VN"/>
        </w:rPr>
        <w:t xml:space="preserve"> </w:t>
      </w:r>
      <w:r w:rsidRPr="00FE6E1A">
        <w:rPr>
          <w:rFonts w:ascii="Arial" w:hAnsi="Arial"/>
          <w:color w:val="010000"/>
          <w:sz w:val="20"/>
        </w:rPr>
        <w:t>according to the issuance plan approved by the Board of Directors.</w:t>
      </w:r>
    </w:p>
    <w:p w14:paraId="0000000D" w14:textId="034B9F69" w:rsidR="001E508A" w:rsidRPr="00FE6E1A" w:rsidRDefault="0037372E" w:rsidP="00043906">
      <w:pPr>
        <w:tabs>
          <w:tab w:val="left" w:pos="432"/>
        </w:tabs>
        <w:spacing w:after="120" w:line="360" w:lineRule="auto"/>
        <w:jc w:val="both"/>
        <w:rPr>
          <w:rFonts w:ascii="Arial" w:eastAsia="Arial" w:hAnsi="Arial" w:cs="Arial"/>
          <w:color w:val="010000"/>
          <w:sz w:val="20"/>
          <w:szCs w:val="20"/>
        </w:rPr>
      </w:pPr>
      <w:r w:rsidRPr="00FE6E1A">
        <w:rPr>
          <w:rFonts w:ascii="Arial" w:hAnsi="Arial"/>
          <w:color w:val="010000"/>
          <w:sz w:val="20"/>
        </w:rPr>
        <w:t xml:space="preserve">Article 5: This Resolution takes effect from the date of its promulgation. The Board of Directors, the Supervisory Board, the Board of Management, and other relevant </w:t>
      </w:r>
      <w:r>
        <w:rPr>
          <w:rFonts w:ascii="Arial" w:hAnsi="Arial"/>
          <w:color w:val="010000"/>
          <w:sz w:val="20"/>
          <w:lang w:val="vi-VN"/>
        </w:rPr>
        <w:t>D</w:t>
      </w:r>
      <w:r w:rsidRPr="00FE6E1A">
        <w:rPr>
          <w:rFonts w:ascii="Arial" w:hAnsi="Arial"/>
          <w:color w:val="010000"/>
          <w:sz w:val="20"/>
          <w:lang w:val="vi-VN"/>
        </w:rPr>
        <w:t xml:space="preserve">epartments and </w:t>
      </w:r>
      <w:r>
        <w:rPr>
          <w:rFonts w:ascii="Arial" w:hAnsi="Arial"/>
          <w:color w:val="010000"/>
          <w:sz w:val="20"/>
        </w:rPr>
        <w:t>D</w:t>
      </w:r>
      <w:r w:rsidRPr="00FE6E1A">
        <w:rPr>
          <w:rFonts w:ascii="Arial" w:hAnsi="Arial"/>
          <w:color w:val="010000"/>
          <w:sz w:val="20"/>
        </w:rPr>
        <w:t>ivisions are responsible for implementing this Resolution.</w:t>
      </w:r>
    </w:p>
    <w:sectPr w:rsidR="001E508A" w:rsidRPr="00FE6E1A">
      <w:pgSz w:w="12240" w:h="16834"/>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Aptos Display">
    <w:panose1 w:val="00000000000000000000"/>
    <w:charset w:val="00"/>
    <w:family w:val="roman"/>
    <w:notTrueType/>
    <w:pitch w:val="default"/>
  </w:font>
  <w:font w:name="等线">
    <w:panose1 w:val="00000000000000000000"/>
    <w:charset w:val="8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8E"/>
    <w:multiLevelType w:val="multilevel"/>
    <w:tmpl w:val="0053208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8A"/>
    <w:rsid w:val="00043906"/>
    <w:rsid w:val="001E508A"/>
    <w:rsid w:val="0037372E"/>
    <w:rsid w:val="00FE6E1A"/>
    <w:rsid w:val="11A67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612CF"/>
  <w15:docId w15:val="{03F7D73A-1E17-41B4-B790-85042BFA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line="288" w:lineRule="auto"/>
    </w:pPr>
    <w:rPr>
      <w:rFonts w:ascii="Times New Roman" w:eastAsia="Times New Roman" w:hAnsi="Times New Roman" w:cs="Times New Roman"/>
      <w:sz w:val="26"/>
      <w:szCs w:val="26"/>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Bodytext2">
    <w:name w:val="Body text (2)_"/>
    <w:basedOn w:val="DefaultParagraphFont"/>
    <w:link w:val="Bodytext20"/>
    <w:qFormat/>
    <w:rPr>
      <w:rFonts w:ascii="Times New Roman" w:eastAsia="Times New Roman" w:hAnsi="Times New Roman" w:cs="Times New Roman"/>
      <w:sz w:val="26"/>
      <w:szCs w:val="26"/>
      <w:u w:val="none"/>
      <w:shd w:val="clear" w:color="auto" w:fill="auto"/>
    </w:rPr>
  </w:style>
  <w:style w:type="paragraph" w:customStyle="1" w:styleId="Bodytext20">
    <w:name w:val="Body text (2)"/>
    <w:basedOn w:val="Normal"/>
    <w:link w:val="Bodytext2"/>
    <w:qFormat/>
    <w:pPr>
      <w:spacing w:line="290" w:lineRule="auto"/>
      <w:ind w:left="152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6"/>
      <w:u w:val="none"/>
      <w:shd w:val="clear" w:color="auto" w:fill="auto"/>
    </w:rPr>
  </w:style>
  <w:style w:type="character" w:customStyle="1" w:styleId="Bodytext3">
    <w:name w:val="Body text (3)_"/>
    <w:basedOn w:val="DefaultParagraphFont"/>
    <w:link w:val="Bodytext30"/>
    <w:qFormat/>
    <w:rPr>
      <w:rFonts w:ascii="Arial" w:eastAsia="Arial" w:hAnsi="Arial" w:cs="Arial"/>
      <w:sz w:val="10"/>
      <w:szCs w:val="10"/>
      <w:u w:val="none"/>
      <w:shd w:val="clear" w:color="auto" w:fill="auto"/>
    </w:rPr>
  </w:style>
  <w:style w:type="paragraph" w:customStyle="1" w:styleId="Bodytext30">
    <w:name w:val="Body text (3)"/>
    <w:basedOn w:val="Normal"/>
    <w:link w:val="Bodytext3"/>
    <w:qFormat/>
    <w:pPr>
      <w:spacing w:line="209" w:lineRule="auto"/>
    </w:pPr>
    <w:rPr>
      <w:rFonts w:ascii="Arial" w:eastAsia="Arial" w:hAnsi="Arial" w:cs="Arial"/>
      <w:sz w:val="10"/>
      <w:szCs w:val="10"/>
    </w:rPr>
  </w:style>
  <w:style w:type="character" w:customStyle="1" w:styleId="Bodytext4">
    <w:name w:val="Body text (4)_"/>
    <w:basedOn w:val="DefaultParagraphFont"/>
    <w:link w:val="Bodytext40"/>
    <w:qFormat/>
    <w:rPr>
      <w:rFonts w:ascii="Times New Roman" w:eastAsia="Times New Roman" w:hAnsi="Times New Roman" w:cs="Times New Roman"/>
      <w:i/>
      <w:iCs/>
      <w:sz w:val="20"/>
      <w:szCs w:val="20"/>
      <w:u w:val="none"/>
      <w:shd w:val="clear" w:color="auto" w:fill="auto"/>
    </w:rPr>
  </w:style>
  <w:style w:type="paragraph" w:customStyle="1" w:styleId="Bodytext40">
    <w:name w:val="Body text (4)"/>
    <w:basedOn w:val="Normal"/>
    <w:link w:val="Bodytext4"/>
    <w:qFormat/>
    <w:pPr>
      <w:ind w:left="1120" w:firstLine="430"/>
    </w:pPr>
    <w:rPr>
      <w:rFonts w:ascii="Times New Roman" w:eastAsia="Times New Roman" w:hAnsi="Times New Roman" w:cs="Times New Roman"/>
      <w:i/>
      <w:iCs/>
      <w:sz w:val="20"/>
      <w:szCs w:val="20"/>
    </w:rPr>
  </w:style>
  <w:style w:type="character" w:customStyle="1" w:styleId="Bodytext6">
    <w:name w:val="Body text (6)_"/>
    <w:basedOn w:val="DefaultParagraphFont"/>
    <w:link w:val="Bodytext60"/>
    <w:qFormat/>
    <w:rPr>
      <w:rFonts w:ascii="Arial" w:eastAsia="Arial" w:hAnsi="Arial" w:cs="Arial"/>
      <w:color w:val="333433"/>
      <w:sz w:val="20"/>
      <w:szCs w:val="20"/>
      <w:u w:val="none"/>
      <w:shd w:val="clear" w:color="auto" w:fill="auto"/>
    </w:rPr>
  </w:style>
  <w:style w:type="paragraph" w:customStyle="1" w:styleId="Bodytext60">
    <w:name w:val="Body text (6)"/>
    <w:basedOn w:val="Normal"/>
    <w:link w:val="Bodytext6"/>
    <w:qFormat/>
    <w:pPr>
      <w:ind w:left="1640"/>
    </w:pPr>
    <w:rPr>
      <w:rFonts w:ascii="Arial" w:eastAsia="Arial" w:hAnsi="Arial" w:cs="Arial"/>
      <w:color w:val="333433"/>
      <w:sz w:val="20"/>
      <w:szCs w:val="20"/>
    </w:rPr>
  </w:style>
  <w:style w:type="character" w:customStyle="1" w:styleId="Bodytext5">
    <w:name w:val="Body text (5)_"/>
    <w:basedOn w:val="DefaultParagraphFont"/>
    <w:link w:val="Bodytext50"/>
    <w:qFormat/>
    <w:rPr>
      <w:rFonts w:ascii="Arial" w:eastAsia="Arial" w:hAnsi="Arial" w:cs="Arial"/>
      <w:color w:val="CA4758"/>
      <w:sz w:val="26"/>
      <w:szCs w:val="26"/>
      <w:u w:val="none"/>
      <w:shd w:val="clear" w:color="auto" w:fill="auto"/>
    </w:rPr>
  </w:style>
  <w:style w:type="paragraph" w:customStyle="1" w:styleId="Bodytext50">
    <w:name w:val="Body text (5)"/>
    <w:basedOn w:val="Normal"/>
    <w:link w:val="Bodytext5"/>
    <w:qFormat/>
    <w:pPr>
      <w:spacing w:line="185" w:lineRule="auto"/>
      <w:jc w:val="right"/>
    </w:pPr>
    <w:rPr>
      <w:rFonts w:ascii="Arial" w:eastAsia="Arial" w:hAnsi="Arial" w:cs="Arial"/>
      <w:color w:val="CA475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oil+aexIDeHa5L0Z9oujIcTxTg==">CgMxLjA4AHIhMUxxUDlWREpzMnRoRG10X2dMTnJXNFNlR21sODB0QjVJ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303</Words>
  <Characters>1724</Characters>
  <Application>Microsoft Office Word</Application>
  <DocSecurity>0</DocSecurity>
  <Lines>26</Lines>
  <Paragraphs>15</Paragraphs>
  <ScaleCrop>false</ScaleCrop>
  <Company>Microsoft</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Nguyen Thi Quynh Trang</cp:lastModifiedBy>
  <cp:revision>4</cp:revision>
  <dcterms:created xsi:type="dcterms:W3CDTF">2024-09-16T03:55:00Z</dcterms:created>
  <dcterms:modified xsi:type="dcterms:W3CDTF">2024-09-17T02:33:00Z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1A423F003F77405FB1DB8834E2EE1204_12</vt:lpwstr>
  </property>
  <property fmtid="{D5CDD505-2E9C-101B-9397-08002B2CF9AE}" pid="4" name="GrammarlyDocumentId">
    <vt:lpwstr>27ce880cce76ff6b6d41831f1f71a64e31a309bc87ed74062525e3617d0dd366</vt:lpwstr>
  </property>
</Properties>
</file>