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02845">
        <w:rPr>
          <w:rFonts w:ascii="Arial" w:hAnsi="Arial" w:cs="Arial"/>
          <w:b/>
          <w:bCs/>
          <w:color w:val="010000"/>
          <w:sz w:val="20"/>
        </w:rPr>
        <w:t>TCX124011:</w:t>
      </w:r>
      <w:r w:rsidRPr="00402845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28B7085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On September 12, 2024, </w:t>
      </w:r>
      <w:proofErr w:type="spellStart"/>
      <w:r w:rsidRPr="00402845">
        <w:rPr>
          <w:rFonts w:ascii="Arial" w:hAnsi="Arial" w:cs="Arial"/>
          <w:color w:val="010000"/>
          <w:sz w:val="20"/>
        </w:rPr>
        <w:t>Techcom</w:t>
      </w:r>
      <w:proofErr w:type="spellEnd"/>
      <w:r w:rsidRPr="00402845">
        <w:rPr>
          <w:rFonts w:ascii="Arial" w:hAnsi="Arial" w:cs="Arial"/>
          <w:color w:val="010000"/>
          <w:sz w:val="20"/>
        </w:rPr>
        <w:t xml:space="preserve"> Securities JSC announced Resolution No. 021209/NQ-HDQT-TCBS on approving the collection of shareholders'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>, as follows:</w:t>
      </w:r>
    </w:p>
    <w:p w14:paraId="00000003" w14:textId="5CC3CE3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Article 1: Approve on collecting shareholders'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>, as follows:</w:t>
      </w:r>
    </w:p>
    <w:p w14:paraId="00000004" w14:textId="00641B6C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Approve the expected record date for the list of shareholders to collect shareholders'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 xml:space="preserve"> to be the 10th date of the Board Resolution.</w:t>
      </w:r>
    </w:p>
    <w:p w14:paraId="00000005" w14:textId="089A35D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>Article 2: Approve the contents for collecting opinions as follows:</w:t>
      </w:r>
    </w:p>
    <w:p w14:paraId="00000006" w14:textId="7AD190CD" w:rsidR="00885123" w:rsidRPr="00402845" w:rsidRDefault="00402845" w:rsidP="00675B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The Proposal of the </w:t>
      </w:r>
      <w:r w:rsidR="00675B40">
        <w:rPr>
          <w:rFonts w:ascii="Arial" w:hAnsi="Arial" w:cs="Arial"/>
          <w:color w:val="010000"/>
          <w:sz w:val="20"/>
        </w:rPr>
        <w:t>General Meeting</w:t>
      </w:r>
      <w:r w:rsidRPr="00402845">
        <w:rPr>
          <w:rFonts w:ascii="Arial" w:hAnsi="Arial" w:cs="Arial"/>
          <w:color w:val="010000"/>
          <w:sz w:val="20"/>
        </w:rPr>
        <w:t xml:space="preserve"> on amending and supplementing the Charter of </w:t>
      </w:r>
      <w:proofErr w:type="spellStart"/>
      <w:r w:rsidRPr="00402845">
        <w:rPr>
          <w:rFonts w:ascii="Arial" w:hAnsi="Arial" w:cs="Arial"/>
          <w:color w:val="010000"/>
          <w:sz w:val="20"/>
        </w:rPr>
        <w:t>Techcom</w:t>
      </w:r>
      <w:proofErr w:type="spellEnd"/>
      <w:r w:rsidRPr="00402845">
        <w:rPr>
          <w:rFonts w:ascii="Arial" w:hAnsi="Arial" w:cs="Arial"/>
          <w:color w:val="010000"/>
          <w:sz w:val="20"/>
        </w:rPr>
        <w:t xml:space="preserve"> Securities JSC.</w:t>
      </w:r>
    </w:p>
    <w:p w14:paraId="00000007" w14:textId="0CCE0B0D" w:rsidR="00885123" w:rsidRPr="00402845" w:rsidRDefault="00402845" w:rsidP="00675B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The Proposal of the </w:t>
      </w:r>
      <w:r w:rsidR="00675B40">
        <w:rPr>
          <w:rFonts w:ascii="Arial" w:hAnsi="Arial" w:cs="Arial"/>
          <w:color w:val="010000"/>
          <w:sz w:val="20"/>
        </w:rPr>
        <w:t>General Meeting</w:t>
      </w:r>
      <w:r w:rsidRPr="00402845">
        <w:rPr>
          <w:rFonts w:ascii="Arial" w:hAnsi="Arial" w:cs="Arial"/>
          <w:color w:val="010000"/>
          <w:sz w:val="20"/>
        </w:rPr>
        <w:t xml:space="preserve"> on amending and supplementing the Operational Regulations of </w:t>
      </w:r>
      <w:proofErr w:type="spellStart"/>
      <w:r w:rsidRPr="00402845">
        <w:rPr>
          <w:rFonts w:ascii="Arial" w:hAnsi="Arial" w:cs="Arial"/>
          <w:color w:val="010000"/>
          <w:sz w:val="20"/>
        </w:rPr>
        <w:t>Techcom</w:t>
      </w:r>
      <w:proofErr w:type="spellEnd"/>
      <w:r w:rsidRPr="00402845">
        <w:rPr>
          <w:rFonts w:ascii="Arial" w:hAnsi="Arial" w:cs="Arial"/>
          <w:color w:val="010000"/>
          <w:sz w:val="20"/>
        </w:rPr>
        <w:t xml:space="preserve"> Securities JSC.</w:t>
      </w:r>
    </w:p>
    <w:p w14:paraId="00000008" w14:textId="29CE6F36" w:rsidR="00885123" w:rsidRPr="00402845" w:rsidRDefault="00402845" w:rsidP="00675B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The Report of the Board of Directors submitted to the </w:t>
      </w:r>
      <w:r w:rsidR="00675B40">
        <w:rPr>
          <w:rFonts w:ascii="Arial" w:hAnsi="Arial" w:cs="Arial"/>
          <w:color w:val="010000"/>
          <w:sz w:val="20"/>
        </w:rPr>
        <w:t>General Meeting</w:t>
      </w:r>
      <w:r w:rsidRPr="00402845">
        <w:rPr>
          <w:rFonts w:ascii="Arial" w:hAnsi="Arial" w:cs="Arial"/>
          <w:color w:val="010000"/>
          <w:sz w:val="20"/>
        </w:rPr>
        <w:t xml:space="preserve"> on </w:t>
      </w:r>
      <w:r w:rsidR="00675B40">
        <w:rPr>
          <w:rFonts w:ascii="Arial" w:hAnsi="Arial" w:cs="Arial"/>
          <w:color w:val="010000"/>
          <w:sz w:val="20"/>
        </w:rPr>
        <w:t>adjusting the</w:t>
      </w:r>
      <w:bookmarkStart w:id="0" w:name="_GoBack"/>
      <w:bookmarkEnd w:id="0"/>
      <w:r w:rsidRPr="00402845">
        <w:rPr>
          <w:rFonts w:ascii="Arial" w:hAnsi="Arial" w:cs="Arial"/>
          <w:color w:val="010000"/>
          <w:sz w:val="20"/>
        </w:rPr>
        <w:t xml:space="preserve"> plan on share </w:t>
      </w:r>
      <w:r w:rsidR="00675B40">
        <w:rPr>
          <w:rFonts w:ascii="Arial" w:hAnsi="Arial" w:cs="Arial"/>
          <w:color w:val="010000"/>
          <w:sz w:val="20"/>
        </w:rPr>
        <w:t>issue</w:t>
      </w:r>
      <w:r w:rsidRPr="00402845">
        <w:rPr>
          <w:rFonts w:ascii="Arial" w:hAnsi="Arial" w:cs="Arial"/>
          <w:color w:val="010000"/>
          <w:sz w:val="20"/>
        </w:rPr>
        <w:t xml:space="preserve"> to increase share capital </w:t>
      </w:r>
      <w:r w:rsidR="00675B40">
        <w:rPr>
          <w:rFonts w:ascii="Arial" w:hAnsi="Arial" w:cs="Arial"/>
          <w:color w:val="010000"/>
          <w:sz w:val="20"/>
        </w:rPr>
        <w:t xml:space="preserve">out of </w:t>
      </w:r>
      <w:proofErr w:type="spellStart"/>
      <w:r w:rsidR="00675B40">
        <w:rPr>
          <w:rFonts w:ascii="Arial" w:hAnsi="Arial" w:cs="Arial"/>
          <w:color w:val="010000"/>
          <w:sz w:val="20"/>
        </w:rPr>
        <w:t>owner’s</w:t>
      </w:r>
      <w:proofErr w:type="spellEnd"/>
      <w:r w:rsidR="00675B40">
        <w:rPr>
          <w:rFonts w:ascii="Arial" w:hAnsi="Arial" w:cs="Arial"/>
          <w:color w:val="010000"/>
          <w:sz w:val="20"/>
        </w:rPr>
        <w:t xml:space="preserve"> equity</w:t>
      </w:r>
      <w:r w:rsidRPr="00402845">
        <w:rPr>
          <w:rFonts w:ascii="Arial" w:hAnsi="Arial" w:cs="Arial"/>
          <w:color w:val="010000"/>
          <w:sz w:val="20"/>
        </w:rPr>
        <w:t xml:space="preserve"> of the Company in Proposal No. 100204/24/TT-DHDCD-TCBS approved by the </w:t>
      </w:r>
      <w:r w:rsidR="00675B40">
        <w:rPr>
          <w:rFonts w:ascii="Arial" w:hAnsi="Arial" w:cs="Arial"/>
          <w:color w:val="010000"/>
          <w:sz w:val="20"/>
        </w:rPr>
        <w:t>General Meeting</w:t>
      </w:r>
      <w:r w:rsidRPr="00402845">
        <w:rPr>
          <w:rFonts w:ascii="Arial" w:hAnsi="Arial" w:cs="Arial"/>
          <w:color w:val="010000"/>
          <w:sz w:val="20"/>
        </w:rPr>
        <w:t xml:space="preserve"> in General Mandate No. 012604/24/NQ-DHDCD-TCBS.</w:t>
      </w:r>
    </w:p>
    <w:p w14:paraId="00000009" w14:textId="46930B1E" w:rsidR="00885123" w:rsidRPr="00402845" w:rsidRDefault="00402845" w:rsidP="00675B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The Proposal of the </w:t>
      </w:r>
      <w:r w:rsidR="00675B40">
        <w:rPr>
          <w:rFonts w:ascii="Arial" w:hAnsi="Arial" w:cs="Arial"/>
          <w:color w:val="010000"/>
          <w:sz w:val="20"/>
        </w:rPr>
        <w:t>General Meeting</w:t>
      </w:r>
      <w:r w:rsidRPr="00402845">
        <w:rPr>
          <w:rFonts w:ascii="Arial" w:hAnsi="Arial" w:cs="Arial"/>
          <w:color w:val="010000"/>
          <w:sz w:val="20"/>
        </w:rPr>
        <w:t xml:space="preserve"> on approving the contents related to the share </w:t>
      </w:r>
      <w:r w:rsidR="00675B40">
        <w:rPr>
          <w:rFonts w:ascii="Arial" w:hAnsi="Arial" w:cs="Arial"/>
          <w:color w:val="010000"/>
          <w:sz w:val="20"/>
        </w:rPr>
        <w:t>issue</w:t>
      </w:r>
      <w:r w:rsidRPr="00402845">
        <w:rPr>
          <w:rFonts w:ascii="Arial" w:hAnsi="Arial" w:cs="Arial"/>
          <w:color w:val="010000"/>
          <w:sz w:val="20"/>
        </w:rPr>
        <w:t xml:space="preserve"> to increase share capital </w:t>
      </w:r>
      <w:r w:rsidR="00675B40">
        <w:rPr>
          <w:rFonts w:ascii="Arial" w:hAnsi="Arial" w:cs="Arial"/>
          <w:color w:val="010000"/>
          <w:sz w:val="20"/>
        </w:rPr>
        <w:t>out of owner’s equity to outstanding</w:t>
      </w:r>
      <w:r w:rsidRPr="00402845">
        <w:rPr>
          <w:rFonts w:ascii="Arial" w:hAnsi="Arial" w:cs="Arial"/>
          <w:color w:val="010000"/>
          <w:sz w:val="20"/>
        </w:rPr>
        <w:t xml:space="preserve"> shareholders and increase charter capital in 2024.</w:t>
      </w:r>
    </w:p>
    <w:p w14:paraId="0000000A" w14:textId="7777777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>Article 3: Organization and implementation</w:t>
      </w:r>
    </w:p>
    <w:p w14:paraId="0000000B" w14:textId="7777777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>Approve on assigning and authorizing the Chair of the Board of Directors of the Company to:</w:t>
      </w:r>
    </w:p>
    <w:p w14:paraId="0000000C" w14:textId="3911DCF1" w:rsidR="00885123" w:rsidRPr="00402845" w:rsidRDefault="00402845" w:rsidP="00675B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Select, adjust the record date for the list of shareholders to collect shareholders'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 xml:space="preserve"> and the time to collect shareholders'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 xml:space="preserve"> in accordance with the practical operations of the Company on the basis of compliance with </w:t>
      </w:r>
      <w:r w:rsidR="00675B40">
        <w:rPr>
          <w:rFonts w:ascii="Arial" w:hAnsi="Arial" w:cs="Arial"/>
          <w:color w:val="010000"/>
          <w:sz w:val="20"/>
        </w:rPr>
        <w:t>applicable laws</w:t>
      </w:r>
      <w:r w:rsidRPr="00402845">
        <w:rPr>
          <w:rFonts w:ascii="Arial" w:hAnsi="Arial" w:cs="Arial"/>
          <w:color w:val="010000"/>
          <w:sz w:val="20"/>
        </w:rPr>
        <w:t xml:space="preserve"> and the Company’s Charter.</w:t>
      </w:r>
    </w:p>
    <w:p w14:paraId="0000000D" w14:textId="39C03B67" w:rsidR="00885123" w:rsidRPr="00402845" w:rsidRDefault="00402845" w:rsidP="00675B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Take responsibility for implementing and directing the implementation of procedures, and tasks, drafting, approving contents, and signing dossiers related to recording the list of shareholders and collecting shareholders’ </w:t>
      </w:r>
      <w:r w:rsidR="00675B40">
        <w:rPr>
          <w:rFonts w:ascii="Arial" w:hAnsi="Arial" w:cs="Arial"/>
          <w:color w:val="010000"/>
          <w:sz w:val="20"/>
        </w:rPr>
        <w:t>ballots</w:t>
      </w:r>
      <w:r w:rsidRPr="00402845">
        <w:rPr>
          <w:rFonts w:ascii="Arial" w:hAnsi="Arial" w:cs="Arial"/>
          <w:color w:val="010000"/>
          <w:sz w:val="20"/>
        </w:rPr>
        <w:t xml:space="preserve"> </w:t>
      </w:r>
      <w:r w:rsidR="00675B40">
        <w:rPr>
          <w:rFonts w:ascii="Arial" w:hAnsi="Arial" w:cs="Arial"/>
          <w:color w:val="010000"/>
          <w:sz w:val="20"/>
        </w:rPr>
        <w:t>under applicable laws</w:t>
      </w:r>
      <w:r w:rsidRPr="00402845">
        <w:rPr>
          <w:rFonts w:ascii="Arial" w:hAnsi="Arial" w:cs="Arial"/>
          <w:color w:val="010000"/>
          <w:sz w:val="20"/>
        </w:rPr>
        <w:t xml:space="preserve"> and the Company’s Charter.</w:t>
      </w:r>
    </w:p>
    <w:p w14:paraId="0000000E" w14:textId="77777777" w:rsidR="00885123" w:rsidRPr="00402845" w:rsidRDefault="00402845" w:rsidP="00675B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>‎‎Article 4: Terms of enforcement</w:t>
      </w:r>
    </w:p>
    <w:p w14:paraId="0000000F" w14:textId="556D9ABB" w:rsidR="00885123" w:rsidRPr="00402845" w:rsidRDefault="00402845" w:rsidP="00675B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This </w:t>
      </w:r>
      <w:r w:rsidR="00675B40">
        <w:rPr>
          <w:rFonts w:ascii="Arial" w:hAnsi="Arial" w:cs="Arial"/>
          <w:color w:val="010000"/>
          <w:sz w:val="20"/>
        </w:rPr>
        <w:t xml:space="preserve">Board </w:t>
      </w:r>
      <w:r w:rsidRPr="00402845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10" w14:textId="5F8100F1" w:rsidR="00885123" w:rsidRPr="00402845" w:rsidRDefault="00402845" w:rsidP="00675B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2845">
        <w:rPr>
          <w:rFonts w:ascii="Arial" w:hAnsi="Arial" w:cs="Arial"/>
          <w:color w:val="010000"/>
          <w:sz w:val="20"/>
        </w:rPr>
        <w:t xml:space="preserve">The Chair of the Board of Directors, </w:t>
      </w:r>
      <w:r w:rsidR="00675B40">
        <w:rPr>
          <w:rFonts w:ascii="Arial" w:hAnsi="Arial" w:cs="Arial"/>
          <w:color w:val="010000"/>
          <w:sz w:val="20"/>
        </w:rPr>
        <w:t>Managing Director and</w:t>
      </w:r>
      <w:r w:rsidRPr="00402845">
        <w:rPr>
          <w:rFonts w:ascii="Arial" w:hAnsi="Arial" w:cs="Arial"/>
          <w:color w:val="010000"/>
          <w:sz w:val="20"/>
        </w:rPr>
        <w:t xml:space="preserve"> </w:t>
      </w:r>
      <w:r w:rsidR="00675B40">
        <w:rPr>
          <w:rFonts w:ascii="Arial" w:hAnsi="Arial" w:cs="Arial"/>
          <w:color w:val="010000"/>
          <w:sz w:val="20"/>
        </w:rPr>
        <w:t>relevant Departments, Divisions</w:t>
      </w:r>
      <w:r w:rsidRPr="00402845">
        <w:rPr>
          <w:rFonts w:ascii="Arial" w:hAnsi="Arial" w:cs="Arial"/>
          <w:color w:val="010000"/>
          <w:sz w:val="20"/>
        </w:rPr>
        <w:t xml:space="preserve"> and individuals under the Company are responsible for implementing this Resolution.</w:t>
      </w:r>
    </w:p>
    <w:sectPr w:rsidR="00885123" w:rsidRPr="00402845" w:rsidSect="0040284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2A7D"/>
    <w:multiLevelType w:val="multilevel"/>
    <w:tmpl w:val="71C4EEA4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8353AC"/>
    <w:multiLevelType w:val="multilevel"/>
    <w:tmpl w:val="57B8B276"/>
    <w:lvl w:ilvl="0">
      <w:start w:val="1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30095C"/>
    <w:multiLevelType w:val="multilevel"/>
    <w:tmpl w:val="163C7470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3"/>
    <w:rsid w:val="00402845"/>
    <w:rsid w:val="00675B40"/>
    <w:rsid w:val="008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84D0B"/>
  <w15:docId w15:val="{78DBD8A6-B61C-4534-8393-74D26909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libri" w:eastAsia="Calibri" w:hAnsi="Calibri" w:cs="Calibri"/>
      <w:b/>
      <w:bCs/>
      <w:i w:val="0"/>
      <w:iCs w:val="0"/>
      <w:smallCaps w:val="0"/>
      <w:strike w:val="0"/>
      <w:color w:val="2A2A2A"/>
      <w:sz w:val="24"/>
      <w:szCs w:val="24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326" w:lineRule="auto"/>
    </w:pPr>
    <w:rPr>
      <w:rFonts w:ascii="Times New Roman" w:eastAsia="Times New Roman" w:hAnsi="Times New Roman" w:cs="Times New Roman"/>
      <w:color w:val="2A2A2A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Calibri" w:eastAsia="Calibri" w:hAnsi="Calibri" w:cs="Calibri"/>
      <w:b/>
      <w:bCs/>
      <w:color w:val="2A2A2A"/>
    </w:rPr>
  </w:style>
  <w:style w:type="paragraph" w:customStyle="1" w:styleId="Tiu10">
    <w:name w:val="Tiêu đề #1"/>
    <w:basedOn w:val="Normal"/>
    <w:link w:val="Tiu1"/>
    <w:pPr>
      <w:spacing w:line="326" w:lineRule="auto"/>
      <w:ind w:left="610" w:hanging="480"/>
      <w:outlineLvl w:val="0"/>
    </w:pPr>
    <w:rPr>
      <w:rFonts w:ascii="Times New Roman" w:eastAsia="Times New Roman" w:hAnsi="Times New Roman" w:cs="Times New Roman"/>
      <w:b/>
      <w:bCs/>
      <w:color w:val="2A2A2A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AqmDVc0w2i2JUMADClrRWeKiA==">CgMxLjA4AHIhMU5aQkZEaGVpekFEY0t2azduSFJPcjg4dEYxd0V3NG5s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2024-09-17T02:09:00Z</dcterms:created>
  <dcterms:modified xsi:type="dcterms:W3CDTF">2024-09-17T02:09:00Z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a6c838eeb52cea9eb2a7e814367032f9964cddaf930b4e8ee76429b8ad8fdf73</vt:lpwstr>
  </property>
</Properties>
</file>