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0906CD">
        <w:rPr>
          <w:rFonts w:ascii="Arial" w:hAnsi="Arial" w:cs="Arial"/>
          <w:b/>
          <w:color w:val="010000"/>
          <w:sz w:val="20"/>
        </w:rPr>
        <w:t xml:space="preserve">ANT: Board Resolution No. 23 </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 xml:space="preserve">On September 18, 2024, An Giang Fruit - Vegetables &amp; Foodstuff Joint Stock Company announced Resolution No. 23/2024/NQ-HDQT on determining the Standards and Principles for determining the number of shares distributed to each subject and the List of employees eligible to participate in the Employee Stock Ownership Plan - Implementation time as follows: </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1. Approve the standards and criteria for the Company's employees to participate in the ESOP, the specific contents are as follows:</w:t>
      </w:r>
    </w:p>
    <w:p w:rsidR="001F4991" w:rsidRPr="000906CD" w:rsidRDefault="000906CD" w:rsidP="004254DC">
      <w:pPr>
        <w:numPr>
          <w:ilvl w:val="0"/>
          <w:numId w:val="2"/>
        </w:numPr>
        <w:pBdr>
          <w:top w:val="nil"/>
          <w:left w:val="nil"/>
          <w:bottom w:val="nil"/>
          <w:right w:val="nil"/>
          <w:between w:val="nil"/>
        </w:pBdr>
        <w:tabs>
          <w:tab w:val="left" w:pos="284"/>
          <w:tab w:val="left" w:pos="368"/>
        </w:tabs>
        <w:spacing w:after="120" w:line="360" w:lineRule="auto"/>
        <w:jc w:val="both"/>
        <w:rPr>
          <w:rFonts w:ascii="Arial" w:eastAsia="Arial" w:hAnsi="Arial" w:cs="Arial"/>
          <w:color w:val="010000"/>
          <w:sz w:val="20"/>
          <w:szCs w:val="20"/>
        </w:rPr>
      </w:pPr>
      <w:r w:rsidRPr="000906CD">
        <w:rPr>
          <w:rFonts w:ascii="Arial" w:hAnsi="Arial" w:cs="Arial"/>
          <w:color w:val="010000"/>
          <w:sz w:val="20"/>
        </w:rPr>
        <w:t>Standards for employees selected to participate in the ESOP:</w:t>
      </w:r>
    </w:p>
    <w:p w:rsidR="001F4991" w:rsidRPr="000906CD" w:rsidRDefault="000906CD" w:rsidP="004254DC">
      <w:pPr>
        <w:numPr>
          <w:ilvl w:val="0"/>
          <w:numId w:val="1"/>
        </w:numPr>
        <w:pBdr>
          <w:top w:val="nil"/>
          <w:left w:val="nil"/>
          <w:bottom w:val="nil"/>
          <w:right w:val="nil"/>
          <w:between w:val="nil"/>
        </w:pBdr>
        <w:tabs>
          <w:tab w:val="left" w:pos="284"/>
          <w:tab w:val="left" w:pos="726"/>
        </w:tabs>
        <w:spacing w:after="120" w:line="360" w:lineRule="auto"/>
        <w:jc w:val="both"/>
        <w:rPr>
          <w:rFonts w:ascii="Arial" w:eastAsia="Arial" w:hAnsi="Arial" w:cs="Arial"/>
          <w:color w:val="010000"/>
          <w:sz w:val="20"/>
          <w:szCs w:val="20"/>
        </w:rPr>
      </w:pPr>
      <w:r w:rsidRPr="000906CD">
        <w:rPr>
          <w:rFonts w:ascii="Arial" w:hAnsi="Arial" w:cs="Arial"/>
          <w:color w:val="010000"/>
          <w:sz w:val="20"/>
        </w:rPr>
        <w:t>Members on the list selected to participate in the Employee Stock Ownership Plan (ESOP);</w:t>
      </w:r>
    </w:p>
    <w:p w:rsidR="001F4991" w:rsidRPr="000906CD" w:rsidRDefault="000906CD" w:rsidP="004254DC">
      <w:pPr>
        <w:numPr>
          <w:ilvl w:val="0"/>
          <w:numId w:val="1"/>
        </w:numPr>
        <w:pBdr>
          <w:top w:val="nil"/>
          <w:left w:val="nil"/>
          <w:bottom w:val="nil"/>
          <w:right w:val="nil"/>
          <w:between w:val="nil"/>
        </w:pBdr>
        <w:tabs>
          <w:tab w:val="left" w:pos="284"/>
          <w:tab w:val="left" w:pos="726"/>
        </w:tabs>
        <w:spacing w:after="120" w:line="360" w:lineRule="auto"/>
        <w:jc w:val="both"/>
        <w:rPr>
          <w:rFonts w:ascii="Arial" w:eastAsia="Arial" w:hAnsi="Arial" w:cs="Arial"/>
          <w:color w:val="010000"/>
          <w:sz w:val="20"/>
          <w:szCs w:val="20"/>
        </w:rPr>
      </w:pPr>
      <w:r w:rsidRPr="000906CD">
        <w:rPr>
          <w:rFonts w:ascii="Arial" w:hAnsi="Arial" w:cs="Arial"/>
          <w:color w:val="010000"/>
          <w:sz w:val="20"/>
        </w:rPr>
        <w:t>Members of the Board of Directors, the Executive Board, the Supervisory Board</w:t>
      </w:r>
      <w:r w:rsidR="002C162C">
        <w:rPr>
          <w:rFonts w:ascii="Arial" w:hAnsi="Arial" w:cs="Arial"/>
          <w:color w:val="010000"/>
          <w:sz w:val="20"/>
        </w:rPr>
        <w:t>,</w:t>
      </w:r>
      <w:r w:rsidRPr="000906CD">
        <w:rPr>
          <w:rFonts w:ascii="Arial" w:hAnsi="Arial" w:cs="Arial"/>
          <w:color w:val="010000"/>
          <w:sz w:val="20"/>
        </w:rPr>
        <w:t xml:space="preserve"> and key personnel of An Giang Fruit - Vegetables &amp; Foodstuff Joint Stock Company.</w:t>
      </w:r>
    </w:p>
    <w:p w:rsidR="001F4991" w:rsidRPr="000906CD" w:rsidRDefault="000906CD" w:rsidP="004254DC">
      <w:pPr>
        <w:numPr>
          <w:ilvl w:val="0"/>
          <w:numId w:val="1"/>
        </w:numPr>
        <w:pBdr>
          <w:top w:val="nil"/>
          <w:left w:val="nil"/>
          <w:bottom w:val="nil"/>
          <w:right w:val="nil"/>
          <w:between w:val="nil"/>
        </w:pBdr>
        <w:tabs>
          <w:tab w:val="left" w:pos="284"/>
          <w:tab w:val="left" w:pos="726"/>
        </w:tabs>
        <w:spacing w:after="120" w:line="360" w:lineRule="auto"/>
        <w:jc w:val="both"/>
        <w:rPr>
          <w:rFonts w:ascii="Arial" w:eastAsia="Arial" w:hAnsi="Arial" w:cs="Arial"/>
          <w:color w:val="010000"/>
          <w:sz w:val="20"/>
          <w:szCs w:val="20"/>
        </w:rPr>
      </w:pPr>
      <w:r w:rsidRPr="000906CD">
        <w:rPr>
          <w:rFonts w:ascii="Arial" w:hAnsi="Arial" w:cs="Arial"/>
          <w:color w:val="010000"/>
          <w:sz w:val="20"/>
        </w:rPr>
        <w:t>Members who submit a resignation before the end of the issuance period under the ESOP will not be allowed to continue participating in the ESOP.</w:t>
      </w:r>
    </w:p>
    <w:p w:rsidR="001F4991" w:rsidRPr="000906CD" w:rsidRDefault="000906CD" w:rsidP="004254DC">
      <w:pPr>
        <w:numPr>
          <w:ilvl w:val="0"/>
          <w:numId w:val="2"/>
        </w:numPr>
        <w:pBdr>
          <w:top w:val="nil"/>
          <w:left w:val="nil"/>
          <w:bottom w:val="nil"/>
          <w:right w:val="nil"/>
          <w:between w:val="nil"/>
        </w:pBdr>
        <w:tabs>
          <w:tab w:val="left" w:pos="284"/>
          <w:tab w:val="left" w:pos="368"/>
        </w:tabs>
        <w:spacing w:after="120" w:line="360" w:lineRule="auto"/>
        <w:jc w:val="both"/>
        <w:rPr>
          <w:rFonts w:ascii="Arial" w:eastAsia="Arial" w:hAnsi="Arial" w:cs="Arial"/>
          <w:color w:val="010000"/>
          <w:sz w:val="20"/>
          <w:szCs w:val="20"/>
        </w:rPr>
      </w:pPr>
      <w:r w:rsidRPr="000906CD">
        <w:rPr>
          <w:rFonts w:ascii="Arial" w:hAnsi="Arial" w:cs="Arial"/>
          <w:color w:val="010000"/>
          <w:sz w:val="20"/>
        </w:rPr>
        <w:t>Criteria for employees selected to participate in the ESOP:</w:t>
      </w:r>
    </w:p>
    <w:p w:rsidR="001F4991" w:rsidRPr="000906CD" w:rsidRDefault="000906CD" w:rsidP="004254DC">
      <w:pPr>
        <w:numPr>
          <w:ilvl w:val="0"/>
          <w:numId w:val="1"/>
        </w:numPr>
        <w:pBdr>
          <w:top w:val="nil"/>
          <w:left w:val="nil"/>
          <w:bottom w:val="nil"/>
          <w:right w:val="nil"/>
          <w:between w:val="nil"/>
        </w:pBdr>
        <w:tabs>
          <w:tab w:val="left" w:pos="284"/>
          <w:tab w:val="left" w:pos="726"/>
        </w:tabs>
        <w:spacing w:after="120" w:line="360" w:lineRule="auto"/>
        <w:jc w:val="both"/>
        <w:rPr>
          <w:rFonts w:ascii="Arial" w:eastAsia="Arial" w:hAnsi="Arial" w:cs="Arial"/>
          <w:color w:val="010000"/>
          <w:sz w:val="20"/>
          <w:szCs w:val="20"/>
        </w:rPr>
      </w:pPr>
      <w:r w:rsidRPr="000906CD">
        <w:rPr>
          <w:rFonts w:ascii="Arial" w:hAnsi="Arial" w:cs="Arial"/>
          <w:color w:val="010000"/>
          <w:sz w:val="20"/>
        </w:rPr>
        <w:t xml:space="preserve">Members of the Board of Directors, the Executive Board, the Supervisory Board and key personnel </w:t>
      </w:r>
      <w:proofErr w:type="gramStart"/>
      <w:r w:rsidRPr="000906CD">
        <w:rPr>
          <w:rFonts w:ascii="Arial" w:hAnsi="Arial" w:cs="Arial"/>
          <w:color w:val="010000"/>
          <w:sz w:val="20"/>
        </w:rPr>
        <w:t>of</w:t>
      </w:r>
      <w:proofErr w:type="gramEnd"/>
      <w:r w:rsidRPr="000906CD">
        <w:rPr>
          <w:rFonts w:ascii="Arial" w:hAnsi="Arial" w:cs="Arial"/>
          <w:color w:val="010000"/>
          <w:sz w:val="20"/>
        </w:rPr>
        <w:t xml:space="preserve"> An Giang Fruit - Vegetables &amp; Foodstuff Joint Stock Company appointed/working before January 1, 2023.</w:t>
      </w:r>
    </w:p>
    <w:p w:rsidR="001F4991" w:rsidRPr="000906CD" w:rsidRDefault="000906CD" w:rsidP="004254DC">
      <w:pPr>
        <w:numPr>
          <w:ilvl w:val="0"/>
          <w:numId w:val="1"/>
        </w:numPr>
        <w:pBdr>
          <w:top w:val="nil"/>
          <w:left w:val="nil"/>
          <w:bottom w:val="nil"/>
          <w:right w:val="nil"/>
          <w:between w:val="nil"/>
        </w:pBdr>
        <w:tabs>
          <w:tab w:val="left" w:pos="284"/>
          <w:tab w:val="left" w:pos="748"/>
        </w:tabs>
        <w:spacing w:after="120" w:line="360" w:lineRule="auto"/>
        <w:jc w:val="both"/>
        <w:rPr>
          <w:rFonts w:ascii="Arial" w:eastAsia="Arial" w:hAnsi="Arial" w:cs="Arial"/>
          <w:color w:val="010000"/>
          <w:sz w:val="20"/>
          <w:szCs w:val="20"/>
        </w:rPr>
      </w:pPr>
      <w:r w:rsidRPr="000906CD">
        <w:rPr>
          <w:rFonts w:ascii="Arial" w:hAnsi="Arial" w:cs="Arial"/>
          <w:color w:val="010000"/>
          <w:sz w:val="20"/>
        </w:rPr>
        <w:t>Have contributions to the Company's production and business results in 2022.</w:t>
      </w:r>
    </w:p>
    <w:p w:rsidR="001F4991" w:rsidRPr="000906CD" w:rsidRDefault="000906CD" w:rsidP="004254DC">
      <w:pPr>
        <w:numPr>
          <w:ilvl w:val="0"/>
          <w:numId w:val="1"/>
        </w:numPr>
        <w:pBdr>
          <w:top w:val="nil"/>
          <w:left w:val="nil"/>
          <w:bottom w:val="nil"/>
          <w:right w:val="nil"/>
          <w:between w:val="nil"/>
        </w:pBdr>
        <w:tabs>
          <w:tab w:val="left" w:pos="284"/>
          <w:tab w:val="left" w:pos="748"/>
        </w:tabs>
        <w:spacing w:after="120" w:line="360" w:lineRule="auto"/>
        <w:jc w:val="both"/>
        <w:rPr>
          <w:rFonts w:ascii="Arial" w:eastAsia="Arial" w:hAnsi="Arial" w:cs="Arial"/>
          <w:color w:val="010000"/>
          <w:sz w:val="20"/>
          <w:szCs w:val="20"/>
        </w:rPr>
      </w:pPr>
      <w:r w:rsidRPr="000906CD">
        <w:rPr>
          <w:rFonts w:ascii="Arial" w:hAnsi="Arial" w:cs="Arial"/>
          <w:color w:val="010000"/>
          <w:sz w:val="20"/>
        </w:rPr>
        <w:t>Have a desire to stay long-term, and voluntarily participate in the ESOP according to the set standards and criteria.</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2. Approve the principle of determining the number of shares distributed to each subject at the Company, the specific content is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8"/>
        <w:gridCol w:w="2578"/>
        <w:gridCol w:w="1153"/>
      </w:tblGrid>
      <w:tr w:rsidR="001F4991" w:rsidRPr="000906CD" w:rsidTr="000906CD">
        <w:tc>
          <w:tcPr>
            <w:tcW w:w="2931" w:type="pct"/>
            <w:shd w:val="clear" w:color="auto" w:fill="auto"/>
            <w:tcMar>
              <w:top w:w="0" w:type="dxa"/>
              <w:bottom w:w="0" w:type="dxa"/>
            </w:tcMar>
            <w:vAlign w:val="center"/>
          </w:tcPr>
          <w:p w:rsidR="001F4991" w:rsidRPr="000906CD" w:rsidRDefault="000906CD" w:rsidP="003F573E">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Subjects</w:t>
            </w:r>
          </w:p>
        </w:tc>
        <w:tc>
          <w:tcPr>
            <w:tcW w:w="1429" w:type="pct"/>
            <w:shd w:val="clear" w:color="auto" w:fill="auto"/>
            <w:tcMar>
              <w:top w:w="0" w:type="dxa"/>
              <w:bottom w:w="0" w:type="dxa"/>
            </w:tcMar>
            <w:vAlign w:val="center"/>
          </w:tcPr>
          <w:p w:rsidR="001F4991" w:rsidRPr="000906CD" w:rsidRDefault="000906CD" w:rsidP="003F573E">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Quantity (shares)</w:t>
            </w:r>
          </w:p>
        </w:tc>
        <w:tc>
          <w:tcPr>
            <w:tcW w:w="639" w:type="pct"/>
            <w:shd w:val="clear" w:color="auto" w:fill="auto"/>
            <w:tcMar>
              <w:top w:w="0" w:type="dxa"/>
              <w:bottom w:w="0" w:type="dxa"/>
            </w:tcMar>
            <w:vAlign w:val="center"/>
          </w:tcPr>
          <w:p w:rsidR="001F4991" w:rsidRPr="000906CD" w:rsidRDefault="000906CD" w:rsidP="003F573E">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Rate</w:t>
            </w:r>
          </w:p>
        </w:tc>
      </w:tr>
      <w:tr w:rsidR="001F4991" w:rsidRPr="000906CD" w:rsidTr="000906CD">
        <w:tc>
          <w:tcPr>
            <w:tcW w:w="2931"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Group of the Board of Directors, the Supervisory Board, the Secretariat of the Board of Directors</w:t>
            </w:r>
          </w:p>
        </w:tc>
        <w:tc>
          <w:tcPr>
            <w:tcW w:w="142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72,000</w:t>
            </w:r>
          </w:p>
        </w:tc>
        <w:tc>
          <w:tcPr>
            <w:tcW w:w="63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30%</w:t>
            </w:r>
          </w:p>
        </w:tc>
      </w:tr>
      <w:tr w:rsidR="001F4991" w:rsidRPr="000906CD" w:rsidTr="000906CD">
        <w:tc>
          <w:tcPr>
            <w:tcW w:w="2931"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 xml:space="preserve">Group of the Executive </w:t>
            </w:r>
            <w:r w:rsidR="000A32E2">
              <w:rPr>
                <w:rFonts w:ascii="Arial" w:hAnsi="Arial" w:cs="Arial"/>
                <w:color w:val="010000"/>
                <w:sz w:val="20"/>
              </w:rPr>
              <w:t>Board and</w:t>
            </w:r>
            <w:r w:rsidRPr="000906CD">
              <w:rPr>
                <w:rFonts w:ascii="Arial" w:hAnsi="Arial" w:cs="Arial"/>
                <w:color w:val="010000"/>
                <w:sz w:val="20"/>
              </w:rPr>
              <w:t xml:space="preserve"> key personnel</w:t>
            </w:r>
          </w:p>
        </w:tc>
        <w:tc>
          <w:tcPr>
            <w:tcW w:w="142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168,000</w:t>
            </w:r>
          </w:p>
        </w:tc>
        <w:tc>
          <w:tcPr>
            <w:tcW w:w="63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70%</w:t>
            </w:r>
          </w:p>
        </w:tc>
      </w:tr>
      <w:tr w:rsidR="001F4991" w:rsidRPr="000906CD" w:rsidTr="000906CD">
        <w:tc>
          <w:tcPr>
            <w:tcW w:w="2931"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Total</w:t>
            </w:r>
          </w:p>
        </w:tc>
        <w:tc>
          <w:tcPr>
            <w:tcW w:w="142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240,000</w:t>
            </w:r>
          </w:p>
        </w:tc>
        <w:tc>
          <w:tcPr>
            <w:tcW w:w="639" w:type="pct"/>
            <w:shd w:val="clear" w:color="auto" w:fill="auto"/>
            <w:tcMar>
              <w:top w:w="0" w:type="dxa"/>
              <w:bottom w:w="0" w:type="dxa"/>
            </w:tcMar>
            <w:vAlign w:val="center"/>
          </w:tcPr>
          <w:p w:rsidR="001F4991" w:rsidRPr="000906CD" w:rsidRDefault="000906CD" w:rsidP="00CC3117">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100%</w:t>
            </w:r>
          </w:p>
        </w:tc>
      </w:tr>
    </w:tbl>
    <w:p w:rsidR="001F4991" w:rsidRPr="000906CD" w:rsidRDefault="000906CD" w:rsidP="004254DC">
      <w:pPr>
        <w:numPr>
          <w:ilvl w:val="0"/>
          <w:numId w:val="3"/>
        </w:numPr>
        <w:pBdr>
          <w:top w:val="nil"/>
          <w:left w:val="nil"/>
          <w:bottom w:val="nil"/>
          <w:right w:val="nil"/>
          <w:between w:val="nil"/>
        </w:pBdr>
        <w:tabs>
          <w:tab w:val="left" w:pos="284"/>
          <w:tab w:val="left" w:pos="730"/>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number of shares distributed is calculated for each group according to the formula:</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number of shares distributed to each employee = (Total individual score of each employee / Total score of employees participating in the program of each group) * the number of shares expected to be issued under the ESOP of each group.</w:t>
      </w:r>
    </w:p>
    <w:p w:rsidR="001F4991" w:rsidRPr="000906CD" w:rsidRDefault="000906CD" w:rsidP="004254DC">
      <w:pPr>
        <w:numPr>
          <w:ilvl w:val="0"/>
          <w:numId w:val="1"/>
        </w:numPr>
        <w:pBdr>
          <w:top w:val="nil"/>
          <w:left w:val="nil"/>
          <w:bottom w:val="nil"/>
          <w:right w:val="nil"/>
          <w:between w:val="nil"/>
        </w:pBdr>
        <w:tabs>
          <w:tab w:val="left" w:pos="284"/>
          <w:tab w:val="left" w:pos="748"/>
        </w:tabs>
        <w:spacing w:after="120" w:line="360" w:lineRule="auto"/>
        <w:jc w:val="both"/>
        <w:rPr>
          <w:rFonts w:ascii="Arial" w:eastAsia="Arial" w:hAnsi="Arial" w:cs="Arial"/>
          <w:color w:val="010000"/>
          <w:sz w:val="20"/>
          <w:szCs w:val="20"/>
        </w:rPr>
      </w:pPr>
      <w:r w:rsidRPr="000906CD">
        <w:rPr>
          <w:rFonts w:ascii="Arial" w:hAnsi="Arial" w:cs="Arial"/>
          <w:color w:val="010000"/>
          <w:sz w:val="20"/>
        </w:rPr>
        <w:t>In which:</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Total individual score of each employee is determined = Rank coefficient score * Contribution coefficient score</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lastRenderedPageBreak/>
        <w:t>• Rank coefficient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78"/>
        <w:gridCol w:w="1849"/>
        <w:gridCol w:w="2392"/>
      </w:tblGrid>
      <w:tr w:rsidR="001F4991" w:rsidRPr="000906CD" w:rsidTr="000906CD">
        <w:tc>
          <w:tcPr>
            <w:tcW w:w="2649"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Position</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Rank</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Rank coefficient score</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Board of Directors, the Supervisory Board, the Secretariat of the Board of Directors</w:t>
            </w:r>
          </w:p>
        </w:tc>
        <w:tc>
          <w:tcPr>
            <w:tcW w:w="1025" w:type="pct"/>
            <w:shd w:val="clear" w:color="auto" w:fill="auto"/>
            <w:tcMar>
              <w:top w:w="0" w:type="dxa"/>
              <w:bottom w:w="0" w:type="dxa"/>
            </w:tcMar>
            <w:vAlign w:val="center"/>
          </w:tcPr>
          <w:p w:rsidR="001F4991" w:rsidRPr="000906CD" w:rsidRDefault="001F4991" w:rsidP="004254DC">
            <w:pPr>
              <w:tabs>
                <w:tab w:val="left" w:pos="284"/>
              </w:tabs>
              <w:spacing w:after="120" w:line="360" w:lineRule="auto"/>
              <w:jc w:val="both"/>
              <w:rPr>
                <w:rFonts w:ascii="Arial" w:eastAsia="Arial" w:hAnsi="Arial" w:cs="Arial"/>
                <w:color w:val="010000"/>
                <w:sz w:val="20"/>
                <w:szCs w:val="20"/>
              </w:rPr>
            </w:pPr>
          </w:p>
        </w:tc>
        <w:tc>
          <w:tcPr>
            <w:tcW w:w="1326" w:type="pct"/>
            <w:shd w:val="clear" w:color="auto" w:fill="auto"/>
            <w:tcMar>
              <w:top w:w="0" w:type="dxa"/>
              <w:bottom w:w="0" w:type="dxa"/>
            </w:tcMar>
            <w:vAlign w:val="center"/>
          </w:tcPr>
          <w:p w:rsidR="001F4991" w:rsidRPr="000906CD" w:rsidRDefault="001F4991" w:rsidP="004254DC">
            <w:pPr>
              <w:tabs>
                <w:tab w:val="left" w:pos="284"/>
              </w:tabs>
              <w:spacing w:after="120" w:line="360" w:lineRule="auto"/>
              <w:jc w:val="both"/>
              <w:rPr>
                <w:rFonts w:ascii="Arial" w:eastAsia="Arial" w:hAnsi="Arial" w:cs="Arial"/>
                <w:color w:val="010000"/>
                <w:sz w:val="20"/>
                <w:szCs w:val="20"/>
              </w:rPr>
            </w:pP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Chair of the Board of Directors</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16.60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Chief of the Supervisory Board</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14.80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Members of the Board of Directors</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2.5</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6.80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Members of the Supervisory Board</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6.00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Secretariat of the Board of Directors</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3.00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Executive Board and key personnel</w:t>
            </w:r>
          </w:p>
        </w:tc>
        <w:tc>
          <w:tcPr>
            <w:tcW w:w="1025" w:type="pct"/>
            <w:shd w:val="clear" w:color="auto" w:fill="auto"/>
            <w:tcMar>
              <w:top w:w="0" w:type="dxa"/>
              <w:bottom w:w="0" w:type="dxa"/>
            </w:tcMar>
            <w:vAlign w:val="center"/>
          </w:tcPr>
          <w:p w:rsidR="001F4991" w:rsidRPr="000906CD" w:rsidRDefault="001F4991" w:rsidP="009C039A">
            <w:pPr>
              <w:tabs>
                <w:tab w:val="left" w:pos="284"/>
              </w:tabs>
              <w:spacing w:after="120" w:line="360" w:lineRule="auto"/>
              <w:jc w:val="center"/>
              <w:rPr>
                <w:rFonts w:ascii="Arial" w:eastAsia="Arial" w:hAnsi="Arial" w:cs="Arial"/>
                <w:color w:val="010000"/>
                <w:sz w:val="20"/>
                <w:szCs w:val="20"/>
              </w:rPr>
            </w:pPr>
          </w:p>
        </w:tc>
        <w:tc>
          <w:tcPr>
            <w:tcW w:w="1326" w:type="pct"/>
            <w:shd w:val="clear" w:color="auto" w:fill="auto"/>
            <w:tcMar>
              <w:top w:w="0" w:type="dxa"/>
              <w:bottom w:w="0" w:type="dxa"/>
            </w:tcMar>
            <w:vAlign w:val="center"/>
          </w:tcPr>
          <w:p w:rsidR="001F4991" w:rsidRPr="000906CD" w:rsidRDefault="001F4991" w:rsidP="009C039A">
            <w:pPr>
              <w:tabs>
                <w:tab w:val="left" w:pos="284"/>
              </w:tabs>
              <w:spacing w:after="120" w:line="360" w:lineRule="auto"/>
              <w:jc w:val="center"/>
              <w:rPr>
                <w:rFonts w:ascii="Arial" w:eastAsia="Arial" w:hAnsi="Arial" w:cs="Arial"/>
                <w:color w:val="010000"/>
                <w:sz w:val="20"/>
                <w:szCs w:val="20"/>
              </w:rPr>
            </w:pP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General Manager</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6.50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Deputy General Manager/the Chief Accountant</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1.5</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6.00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Heads of Department/ the Manager of the factory/the Assistant of the General Manager</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4.35</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Deputy Head of Department/ the Deputy Manager of the factory</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3.90</w:t>
            </w:r>
          </w:p>
        </w:tc>
      </w:tr>
      <w:tr w:rsidR="001F4991" w:rsidRPr="000906CD" w:rsidTr="000906CD">
        <w:tc>
          <w:tcPr>
            <w:tcW w:w="2649" w:type="pct"/>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Team leader</w:t>
            </w:r>
          </w:p>
        </w:tc>
        <w:tc>
          <w:tcPr>
            <w:tcW w:w="1025"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w:t>
            </w:r>
          </w:p>
        </w:tc>
        <w:tc>
          <w:tcPr>
            <w:tcW w:w="1326" w:type="pct"/>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2.00</w:t>
            </w:r>
          </w:p>
        </w:tc>
      </w:tr>
    </w:tbl>
    <w:p w:rsidR="001F4991" w:rsidRPr="000906CD" w:rsidRDefault="000906CD" w:rsidP="004254DC">
      <w:pPr>
        <w:pStyle w:val="ListParagraph"/>
        <w:numPr>
          <w:ilvl w:val="0"/>
          <w:numId w:val="4"/>
        </w:numPr>
        <w:pBdr>
          <w:top w:val="nil"/>
          <w:left w:val="nil"/>
          <w:bottom w:val="nil"/>
          <w:right w:val="nil"/>
          <w:between w:val="nil"/>
        </w:pBdr>
        <w:tabs>
          <w:tab w:val="left" w:pos="284"/>
          <w:tab w:val="left" w:pos="432"/>
        </w:tabs>
        <w:spacing w:after="120" w:line="360" w:lineRule="auto"/>
        <w:ind w:left="0" w:firstLine="0"/>
        <w:jc w:val="both"/>
        <w:rPr>
          <w:rFonts w:ascii="Arial" w:eastAsia="Arial" w:hAnsi="Arial" w:cs="Arial"/>
          <w:color w:val="010000"/>
          <w:sz w:val="20"/>
          <w:szCs w:val="20"/>
        </w:rPr>
      </w:pPr>
      <w:r w:rsidRPr="000906CD">
        <w:rPr>
          <w:rFonts w:ascii="Arial" w:hAnsi="Arial" w:cs="Arial"/>
          <w:color w:val="010000"/>
          <w:sz w:val="20"/>
        </w:rPr>
        <w:t>Contribution level</w:t>
      </w:r>
    </w:p>
    <w:tbl>
      <w:tblPr>
        <w:tblStyle w:val="a1"/>
        <w:tblW w:w="5000" w:type="pct"/>
        <w:tblLook w:val="0400" w:firstRow="0" w:lastRow="0" w:firstColumn="0" w:lastColumn="0" w:noHBand="0" w:noVBand="1"/>
      </w:tblPr>
      <w:tblGrid>
        <w:gridCol w:w="5548"/>
        <w:gridCol w:w="929"/>
        <w:gridCol w:w="2542"/>
      </w:tblGrid>
      <w:tr w:rsidR="001F4991" w:rsidRPr="000906CD" w:rsidTr="000906CD">
        <w:tc>
          <w:tcPr>
            <w:tcW w:w="3076" w:type="pct"/>
            <w:tcBorders>
              <w:top w:val="single" w:sz="4" w:space="0" w:color="000000"/>
              <w:left w:val="single" w:sz="4" w:space="0" w:color="000000"/>
            </w:tcBorders>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Criteria</w:t>
            </w:r>
          </w:p>
        </w:tc>
        <w:tc>
          <w:tcPr>
            <w:tcW w:w="515" w:type="pct"/>
            <w:tcBorders>
              <w:top w:val="single" w:sz="4" w:space="0" w:color="000000"/>
              <w:left w:val="single" w:sz="4" w:space="0" w:color="000000"/>
            </w:tcBorders>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Rank</w:t>
            </w:r>
          </w:p>
        </w:tc>
        <w:tc>
          <w:tcPr>
            <w:tcW w:w="140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1F4991" w:rsidRPr="000906CD" w:rsidRDefault="000906CD" w:rsidP="009C039A">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Contribution coefficient score</w:t>
            </w:r>
          </w:p>
        </w:tc>
      </w:tr>
      <w:tr w:rsidR="001F4991" w:rsidRPr="000906CD" w:rsidTr="000906CD">
        <w:tc>
          <w:tcPr>
            <w:tcW w:w="3076" w:type="pct"/>
            <w:tcBorders>
              <w:top w:val="single" w:sz="4" w:space="0" w:color="000000"/>
              <w:lef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Board of Directors, the Supervisory Board:</w:t>
            </w:r>
          </w:p>
        </w:tc>
        <w:tc>
          <w:tcPr>
            <w:tcW w:w="515" w:type="pct"/>
            <w:tcBorders>
              <w:top w:val="single" w:sz="4" w:space="0" w:color="000000"/>
              <w:left w:val="single" w:sz="4" w:space="0" w:color="000000"/>
            </w:tcBorders>
            <w:shd w:val="clear" w:color="auto" w:fill="auto"/>
            <w:tcMar>
              <w:top w:w="0" w:type="dxa"/>
              <w:bottom w:w="0" w:type="dxa"/>
            </w:tcMar>
            <w:vAlign w:val="center"/>
          </w:tcPr>
          <w:p w:rsidR="001F4991" w:rsidRPr="000906CD" w:rsidRDefault="001F4991" w:rsidP="004254DC">
            <w:pPr>
              <w:tabs>
                <w:tab w:val="left" w:pos="284"/>
              </w:tabs>
              <w:spacing w:after="120" w:line="360" w:lineRule="auto"/>
              <w:jc w:val="both"/>
              <w:rPr>
                <w:rFonts w:ascii="Arial" w:eastAsia="Arial" w:hAnsi="Arial" w:cs="Arial"/>
                <w:color w:val="010000"/>
                <w:sz w:val="20"/>
                <w:szCs w:val="20"/>
              </w:rPr>
            </w:pPr>
          </w:p>
        </w:tc>
        <w:tc>
          <w:tcPr>
            <w:tcW w:w="1409" w:type="pct"/>
            <w:tcBorders>
              <w:top w:val="single" w:sz="4" w:space="0" w:color="000000"/>
              <w:left w:val="single" w:sz="4" w:space="0" w:color="000000"/>
              <w:right w:val="single" w:sz="4" w:space="0" w:color="000000"/>
            </w:tcBorders>
            <w:shd w:val="clear" w:color="auto" w:fill="auto"/>
            <w:tcMar>
              <w:top w:w="0" w:type="dxa"/>
              <w:bottom w:w="0" w:type="dxa"/>
            </w:tcMar>
            <w:vAlign w:val="center"/>
          </w:tcPr>
          <w:p w:rsidR="001F4991" w:rsidRPr="000906CD" w:rsidRDefault="001F4991" w:rsidP="004254DC">
            <w:pPr>
              <w:tabs>
                <w:tab w:val="left" w:pos="284"/>
              </w:tabs>
              <w:spacing w:after="120" w:line="360" w:lineRule="auto"/>
              <w:jc w:val="both"/>
              <w:rPr>
                <w:rFonts w:ascii="Arial" w:eastAsia="Arial" w:hAnsi="Arial" w:cs="Arial"/>
                <w:color w:val="010000"/>
                <w:sz w:val="20"/>
                <w:szCs w:val="20"/>
              </w:rPr>
            </w:pPr>
          </w:p>
        </w:tc>
      </w:tr>
      <w:tr w:rsidR="001F4991" w:rsidRPr="000906CD" w:rsidTr="000906CD">
        <w:tc>
          <w:tcPr>
            <w:tcW w:w="3076" w:type="pct"/>
            <w:tcBorders>
              <w:lef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 Appointed before June 2022</w:t>
            </w:r>
          </w:p>
        </w:tc>
        <w:tc>
          <w:tcPr>
            <w:tcW w:w="515" w:type="pct"/>
            <w:tcBorders>
              <w:lef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w:t>
            </w:r>
          </w:p>
        </w:tc>
        <w:tc>
          <w:tcPr>
            <w:tcW w:w="1409" w:type="pct"/>
            <w:tcBorders>
              <w:left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5.00</w:t>
            </w:r>
          </w:p>
        </w:tc>
      </w:tr>
      <w:tr w:rsidR="001F4991" w:rsidRPr="000906CD" w:rsidTr="000906CD">
        <w:tc>
          <w:tcPr>
            <w:tcW w:w="3076" w:type="pct"/>
            <w:tcBorders>
              <w:lef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 Appointed before October 2022</w:t>
            </w:r>
          </w:p>
        </w:tc>
        <w:tc>
          <w:tcPr>
            <w:tcW w:w="515" w:type="pct"/>
            <w:tcBorders>
              <w:lef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w:t>
            </w:r>
          </w:p>
        </w:tc>
        <w:tc>
          <w:tcPr>
            <w:tcW w:w="1409" w:type="pct"/>
            <w:tcBorders>
              <w:left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4.00</w:t>
            </w:r>
          </w:p>
        </w:tc>
      </w:tr>
      <w:tr w:rsidR="001F4991" w:rsidRPr="000906CD" w:rsidTr="000906CD">
        <w:tc>
          <w:tcPr>
            <w:tcW w:w="3076" w:type="pct"/>
            <w:tcBorders>
              <w:left w:val="single" w:sz="4" w:space="0" w:color="000000"/>
              <w:bottom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Secretariat of the Board of Directors</w:t>
            </w:r>
          </w:p>
        </w:tc>
        <w:tc>
          <w:tcPr>
            <w:tcW w:w="515" w:type="pct"/>
            <w:tcBorders>
              <w:left w:val="single" w:sz="4" w:space="0" w:color="000000"/>
              <w:bottom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w:t>
            </w:r>
          </w:p>
        </w:tc>
        <w:tc>
          <w:tcPr>
            <w:tcW w:w="1409" w:type="pct"/>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3.00</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The Executive Board and key personnel</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1F4991" w:rsidP="00360D43">
            <w:pPr>
              <w:tabs>
                <w:tab w:val="left" w:pos="284"/>
              </w:tabs>
              <w:spacing w:after="120" w:line="360" w:lineRule="auto"/>
              <w:jc w:val="center"/>
              <w:rPr>
                <w:rFonts w:ascii="Arial" w:eastAsia="Arial" w:hAnsi="Arial" w:cs="Arial"/>
                <w:color w:val="010000"/>
                <w:sz w:val="20"/>
                <w:szCs w:val="20"/>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1F4991" w:rsidP="00360D43">
            <w:pPr>
              <w:tabs>
                <w:tab w:val="left" w:pos="284"/>
              </w:tabs>
              <w:spacing w:after="120" w:line="360" w:lineRule="auto"/>
              <w:jc w:val="center"/>
              <w:rPr>
                <w:rFonts w:ascii="Arial" w:eastAsia="Arial" w:hAnsi="Arial" w:cs="Arial"/>
                <w:color w:val="010000"/>
                <w:sz w:val="20"/>
                <w:szCs w:val="20"/>
              </w:rPr>
            </w:pP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Work completion rate from 150% or more</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1</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4.53</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Work completion rate from 140% to less than 150%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4.00</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Work completion rate from 130% to less than 140%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3.72</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Work completion rate from 120% to less than 130%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4</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2.80</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Work completion rate from 110% to less than 120%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5</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bookmarkStart w:id="0" w:name="_GoBack"/>
            <w:bookmarkEnd w:id="0"/>
            <w:r w:rsidRPr="000906CD">
              <w:rPr>
                <w:rFonts w:ascii="Arial" w:hAnsi="Arial" w:cs="Arial"/>
                <w:color w:val="010000"/>
                <w:sz w:val="20"/>
              </w:rPr>
              <w:t>2.75</w:t>
            </w:r>
          </w:p>
        </w:tc>
      </w:tr>
      <w:tr w:rsidR="001F4991" w:rsidRPr="000906CD" w:rsidTr="000906CD">
        <w:tc>
          <w:tcPr>
            <w:tcW w:w="307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lastRenderedPageBreak/>
              <w:t>Work completion rate from 100% to less than 110%</w:t>
            </w:r>
          </w:p>
        </w:tc>
        <w:tc>
          <w:tcPr>
            <w:tcW w:w="51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0906CD">
              <w:rPr>
                <w:rFonts w:ascii="Arial" w:hAnsi="Arial" w:cs="Arial"/>
                <w:color w:val="010000"/>
                <w:sz w:val="20"/>
              </w:rPr>
              <w:t>6</w:t>
            </w:r>
          </w:p>
        </w:tc>
        <w:tc>
          <w:tcPr>
            <w:tcW w:w="14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F4991" w:rsidRPr="000906CD" w:rsidRDefault="000906CD" w:rsidP="00360D43">
            <w:pPr>
              <w:pBdr>
                <w:top w:val="nil"/>
                <w:left w:val="nil"/>
                <w:bottom w:val="nil"/>
                <w:right w:val="nil"/>
                <w:between w:val="nil"/>
              </w:pBdr>
              <w:tabs>
                <w:tab w:val="left" w:pos="284"/>
                <w:tab w:val="left" w:pos="470"/>
                <w:tab w:val="left" w:pos="1320"/>
                <w:tab w:val="left" w:pos="2750"/>
              </w:tabs>
              <w:spacing w:after="120" w:line="360" w:lineRule="auto"/>
              <w:jc w:val="center"/>
              <w:rPr>
                <w:rFonts w:ascii="Arial" w:eastAsia="Arial" w:hAnsi="Arial" w:cs="Arial"/>
                <w:color w:val="010000"/>
                <w:sz w:val="20"/>
                <w:szCs w:val="20"/>
              </w:rPr>
            </w:pPr>
            <w:r w:rsidRPr="000906CD">
              <w:rPr>
                <w:rFonts w:ascii="Arial" w:hAnsi="Arial" w:cs="Arial"/>
                <w:color w:val="010000"/>
                <w:sz w:val="20"/>
              </w:rPr>
              <w:t>2.30</w:t>
            </w:r>
          </w:p>
        </w:tc>
      </w:tr>
    </w:tbl>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3. Approve the List of employees participating in the Program and the number of shares distributed.</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4. Expected implementation time: From Q3/2024 to Q4/2024, after the State Securities Commission notifies of receiving full issuance report documents. Approve on selecting an appropriate issuance time to ensure the rights of shareholders and in accordance with the provisions of law.</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5. Members of the Board of Directors, the Board of Management, departments/divisions and relevant individuals are responsible for implementing this Resolution.</w:t>
      </w:r>
    </w:p>
    <w:p w:rsidR="001F4991" w:rsidRPr="000906CD" w:rsidRDefault="000906CD" w:rsidP="004254DC">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906CD">
        <w:rPr>
          <w:rFonts w:ascii="Arial" w:hAnsi="Arial" w:cs="Arial"/>
          <w:color w:val="010000"/>
          <w:sz w:val="20"/>
        </w:rPr>
        <w:t>‎‎Article 6. This Resolution takes effect from the date of its signing.</w:t>
      </w:r>
    </w:p>
    <w:sectPr w:rsidR="001F4991" w:rsidRPr="000906CD" w:rsidSect="000906CD">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15BF"/>
    <w:multiLevelType w:val="multilevel"/>
    <w:tmpl w:val="4F12E5D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30B5D73"/>
    <w:multiLevelType w:val="multilevel"/>
    <w:tmpl w:val="17DEDD0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AC94547"/>
    <w:multiLevelType w:val="hybridMultilevel"/>
    <w:tmpl w:val="ECC4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6E405C"/>
    <w:multiLevelType w:val="multilevel"/>
    <w:tmpl w:val="B00AEA3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91"/>
    <w:rsid w:val="000906CD"/>
    <w:rsid w:val="000A32E2"/>
    <w:rsid w:val="001F4991"/>
    <w:rsid w:val="002C162C"/>
    <w:rsid w:val="00360D43"/>
    <w:rsid w:val="003F573E"/>
    <w:rsid w:val="004254DC"/>
    <w:rsid w:val="009C039A"/>
    <w:rsid w:val="00CC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1BDC8F-8978-4CDC-813E-979BD64B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iCs/>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300" w:lineRule="auto"/>
    </w:pPr>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31">
    <w:name w:val="Heading #3"/>
    <w:basedOn w:val="Normal"/>
    <w:link w:val="Heading30"/>
    <w:pPr>
      <w:spacing w:line="257" w:lineRule="auto"/>
      <w:ind w:firstLine="100"/>
      <w:outlineLvl w:val="2"/>
    </w:pPr>
    <w:rPr>
      <w:rFonts w:ascii="Times New Roman" w:eastAsia="Times New Roman" w:hAnsi="Times New Roman" w:cs="Times New Roman"/>
      <w:b/>
      <w:bCs/>
      <w:i/>
      <w:iCs/>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pacing w:line="293" w:lineRule="auto"/>
    </w:pPr>
    <w:rPr>
      <w:rFonts w:ascii="Times New Roman" w:eastAsia="Times New Roman" w:hAnsi="Times New Roman" w:cs="Times New Roman"/>
      <w:sz w:val="22"/>
      <w:szCs w:val="22"/>
    </w:rPr>
  </w:style>
  <w:style w:type="paragraph" w:customStyle="1" w:styleId="Other0">
    <w:name w:val="Other"/>
    <w:basedOn w:val="Normal"/>
    <w:link w:val="Other"/>
    <w:pPr>
      <w:spacing w:line="300" w:lineRule="auto"/>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09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Rh+JsO74Ys5Tb3IycI2RqCF4Q==">CgMxLjA4AHIhMXJFVUlOYnVoY01qdnJkYnZ0enYtMXRHV2ptLTVMenZx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684</Words>
  <Characters>3528</Characters>
  <Application>Microsoft Office Word</Application>
  <DocSecurity>0</DocSecurity>
  <Lines>135</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9</cp:revision>
  <dcterms:created xsi:type="dcterms:W3CDTF">2024-09-20T03:21:00Z</dcterms:created>
  <dcterms:modified xsi:type="dcterms:W3CDTF">2024-09-23T02:47:00Z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c2727a1a4f645b8afbf31aaff8edb61bf775cf33e7699b825bc619e7a6b7ac92</vt:lpwstr>
  </property>
</Properties>
</file>