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59E" w:rsidRPr="006142C6" w:rsidRDefault="006142C6" w:rsidP="005D60B1">
      <w:pPr>
        <w:pBdr>
          <w:top w:val="nil"/>
          <w:left w:val="nil"/>
          <w:bottom w:val="nil"/>
          <w:right w:val="nil"/>
          <w:between w:val="nil"/>
        </w:pBdr>
        <w:spacing w:after="120" w:line="360" w:lineRule="auto"/>
        <w:jc w:val="both"/>
        <w:rPr>
          <w:rFonts w:ascii="Arial" w:eastAsia="Arial" w:hAnsi="Arial" w:cs="Arial"/>
          <w:b/>
          <w:color w:val="010000"/>
          <w:sz w:val="20"/>
          <w:szCs w:val="20"/>
        </w:rPr>
      </w:pPr>
      <w:r w:rsidRPr="006142C6">
        <w:rPr>
          <w:rFonts w:ascii="Arial" w:hAnsi="Arial" w:cs="Arial"/>
          <w:b/>
          <w:color w:val="010000"/>
          <w:sz w:val="20"/>
        </w:rPr>
        <w:t>GDA: Board Resolution</w:t>
      </w:r>
    </w:p>
    <w:p w:rsidR="00EC359E" w:rsidRPr="006142C6" w:rsidRDefault="006142C6" w:rsidP="005D60B1">
      <w:pPr>
        <w:pBdr>
          <w:top w:val="nil"/>
          <w:left w:val="nil"/>
          <w:bottom w:val="nil"/>
          <w:right w:val="nil"/>
          <w:between w:val="nil"/>
        </w:pBdr>
        <w:spacing w:after="120" w:line="360" w:lineRule="auto"/>
        <w:jc w:val="both"/>
        <w:rPr>
          <w:rFonts w:ascii="Arial" w:eastAsia="Arial" w:hAnsi="Arial" w:cs="Arial"/>
          <w:color w:val="010000"/>
          <w:sz w:val="20"/>
          <w:szCs w:val="20"/>
        </w:rPr>
      </w:pPr>
      <w:r w:rsidRPr="006142C6">
        <w:rPr>
          <w:rFonts w:ascii="Arial" w:hAnsi="Arial" w:cs="Arial"/>
          <w:color w:val="010000"/>
          <w:sz w:val="20"/>
        </w:rPr>
        <w:t xml:space="preserve">On September 19, 2024, Ton Dong </w:t>
      </w:r>
      <w:proofErr w:type="gramStart"/>
      <w:r w:rsidRPr="006142C6">
        <w:rPr>
          <w:rFonts w:ascii="Arial" w:hAnsi="Arial" w:cs="Arial"/>
          <w:color w:val="010000"/>
          <w:sz w:val="20"/>
        </w:rPr>
        <w:t>A</w:t>
      </w:r>
      <w:proofErr w:type="gramEnd"/>
      <w:r w:rsidRPr="006142C6">
        <w:rPr>
          <w:rFonts w:ascii="Arial" w:hAnsi="Arial" w:cs="Arial"/>
          <w:color w:val="010000"/>
          <w:sz w:val="20"/>
        </w:rPr>
        <w:t xml:space="preserve"> Corporation announced Resolution No. 15/2024/NQ-HDQT-TDA on the plan on share </w:t>
      </w:r>
      <w:r w:rsidR="005D60B1">
        <w:rPr>
          <w:rFonts w:ascii="Arial" w:hAnsi="Arial" w:cs="Arial"/>
          <w:color w:val="010000"/>
          <w:sz w:val="20"/>
        </w:rPr>
        <w:t>issue</w:t>
      </w:r>
      <w:r w:rsidRPr="006142C6">
        <w:rPr>
          <w:rFonts w:ascii="Arial" w:hAnsi="Arial" w:cs="Arial"/>
          <w:color w:val="010000"/>
          <w:sz w:val="20"/>
        </w:rPr>
        <w:t xml:space="preserve"> for </w:t>
      </w:r>
      <w:r w:rsidR="005D60B1">
        <w:rPr>
          <w:rFonts w:ascii="Arial" w:hAnsi="Arial" w:cs="Arial"/>
          <w:color w:val="010000"/>
          <w:sz w:val="20"/>
        </w:rPr>
        <w:t>2023 dividend payment</w:t>
      </w:r>
      <w:r w:rsidRPr="006142C6">
        <w:rPr>
          <w:rFonts w:ascii="Arial" w:hAnsi="Arial" w:cs="Arial"/>
          <w:color w:val="010000"/>
          <w:sz w:val="20"/>
        </w:rPr>
        <w:t xml:space="preserve"> as follows:</w:t>
      </w:r>
    </w:p>
    <w:p w:rsidR="00EC359E" w:rsidRPr="006142C6" w:rsidRDefault="006142C6" w:rsidP="005D60B1">
      <w:pPr>
        <w:pBdr>
          <w:top w:val="nil"/>
          <w:left w:val="nil"/>
          <w:bottom w:val="nil"/>
          <w:right w:val="nil"/>
          <w:between w:val="nil"/>
        </w:pBdr>
        <w:spacing w:after="120" w:line="360" w:lineRule="auto"/>
        <w:jc w:val="both"/>
        <w:rPr>
          <w:rFonts w:ascii="Arial" w:eastAsia="Arial" w:hAnsi="Arial" w:cs="Arial"/>
          <w:color w:val="010000"/>
          <w:sz w:val="20"/>
          <w:szCs w:val="20"/>
        </w:rPr>
      </w:pPr>
      <w:r w:rsidRPr="006142C6">
        <w:rPr>
          <w:rFonts w:ascii="Arial" w:hAnsi="Arial" w:cs="Arial"/>
          <w:color w:val="010000"/>
          <w:sz w:val="20"/>
        </w:rPr>
        <w:t xml:space="preserve">Article 1: Implement the plan on share </w:t>
      </w:r>
      <w:r w:rsidR="005D60B1">
        <w:rPr>
          <w:rFonts w:ascii="Arial" w:hAnsi="Arial" w:cs="Arial"/>
          <w:color w:val="010000"/>
          <w:sz w:val="20"/>
        </w:rPr>
        <w:t>issue</w:t>
      </w:r>
      <w:r w:rsidRPr="006142C6">
        <w:rPr>
          <w:rFonts w:ascii="Arial" w:hAnsi="Arial" w:cs="Arial"/>
          <w:color w:val="010000"/>
          <w:sz w:val="20"/>
        </w:rPr>
        <w:t xml:space="preserve"> for </w:t>
      </w:r>
      <w:r w:rsidR="005D60B1">
        <w:rPr>
          <w:rFonts w:ascii="Arial" w:hAnsi="Arial" w:cs="Arial"/>
          <w:color w:val="010000"/>
          <w:sz w:val="20"/>
        </w:rPr>
        <w:t>2023 dividend payment</w:t>
      </w:r>
      <w:r w:rsidRPr="006142C6">
        <w:rPr>
          <w:rFonts w:ascii="Arial" w:hAnsi="Arial" w:cs="Arial"/>
          <w:color w:val="010000"/>
          <w:sz w:val="20"/>
        </w:rPr>
        <w:t xml:space="preserve"> according to the Annual General Mandate 2024, as follows:</w:t>
      </w:r>
    </w:p>
    <w:tbl>
      <w:tblPr>
        <w:tblStyle w:val="a"/>
        <w:tblW w:w="5000" w:type="pct"/>
        <w:tblLook w:val="0400" w:firstRow="0" w:lastRow="0" w:firstColumn="0" w:lastColumn="0" w:noHBand="0" w:noVBand="1"/>
      </w:tblPr>
      <w:tblGrid>
        <w:gridCol w:w="704"/>
        <w:gridCol w:w="2558"/>
        <w:gridCol w:w="5765"/>
      </w:tblGrid>
      <w:tr w:rsidR="00EC359E" w:rsidRPr="006142C6" w:rsidTr="006142C6">
        <w:tc>
          <w:tcPr>
            <w:tcW w:w="390" w:type="pct"/>
            <w:shd w:val="clear" w:color="auto" w:fill="auto"/>
            <w:vAlign w:val="center"/>
          </w:tcPr>
          <w:p w:rsidR="00EC359E" w:rsidRPr="006142C6" w:rsidRDefault="006142C6" w:rsidP="005D60B1">
            <w:pPr>
              <w:widowControl/>
              <w:spacing w:after="120" w:line="360" w:lineRule="auto"/>
              <w:jc w:val="both"/>
              <w:rPr>
                <w:rFonts w:ascii="Arial" w:eastAsia="Arial" w:hAnsi="Arial" w:cs="Arial"/>
                <w:color w:val="010000"/>
                <w:sz w:val="20"/>
                <w:szCs w:val="20"/>
              </w:rPr>
            </w:pPr>
            <w:r w:rsidRPr="006142C6">
              <w:rPr>
                <w:rFonts w:ascii="Arial" w:hAnsi="Arial" w:cs="Arial"/>
                <w:color w:val="010000"/>
                <w:sz w:val="20"/>
              </w:rPr>
              <w:t>1.</w:t>
            </w:r>
          </w:p>
        </w:tc>
        <w:tc>
          <w:tcPr>
            <w:tcW w:w="1417" w:type="pct"/>
            <w:shd w:val="clear" w:color="auto" w:fill="auto"/>
            <w:vAlign w:val="center"/>
          </w:tcPr>
          <w:p w:rsidR="00EC359E" w:rsidRPr="006142C6" w:rsidRDefault="006142C6" w:rsidP="005D60B1">
            <w:pPr>
              <w:widowControl/>
              <w:spacing w:after="120" w:line="360" w:lineRule="auto"/>
              <w:jc w:val="both"/>
              <w:rPr>
                <w:rFonts w:ascii="Arial" w:eastAsia="Arial" w:hAnsi="Arial" w:cs="Arial"/>
                <w:color w:val="010000"/>
                <w:sz w:val="20"/>
                <w:szCs w:val="20"/>
              </w:rPr>
            </w:pPr>
            <w:r w:rsidRPr="006142C6">
              <w:rPr>
                <w:rFonts w:ascii="Arial" w:hAnsi="Arial" w:cs="Arial"/>
                <w:color w:val="010000"/>
                <w:sz w:val="20"/>
              </w:rPr>
              <w:t>Securities name</w:t>
            </w:r>
          </w:p>
        </w:tc>
        <w:tc>
          <w:tcPr>
            <w:tcW w:w="3193" w:type="pct"/>
            <w:shd w:val="clear" w:color="auto" w:fill="auto"/>
            <w:vAlign w:val="center"/>
          </w:tcPr>
          <w:p w:rsidR="00EC359E" w:rsidRPr="006142C6" w:rsidRDefault="006142C6" w:rsidP="005D60B1">
            <w:pPr>
              <w:widowControl/>
              <w:spacing w:after="120" w:line="360" w:lineRule="auto"/>
              <w:jc w:val="both"/>
              <w:rPr>
                <w:rFonts w:ascii="Arial" w:eastAsia="Arial" w:hAnsi="Arial" w:cs="Arial"/>
                <w:color w:val="010000"/>
                <w:sz w:val="20"/>
                <w:szCs w:val="20"/>
              </w:rPr>
            </w:pPr>
            <w:r w:rsidRPr="006142C6">
              <w:rPr>
                <w:rFonts w:ascii="Arial" w:hAnsi="Arial" w:cs="Arial"/>
                <w:color w:val="010000"/>
                <w:sz w:val="20"/>
              </w:rPr>
              <w:t>: Shares of Ton Dong A Corporation</w:t>
            </w:r>
          </w:p>
        </w:tc>
      </w:tr>
      <w:tr w:rsidR="00EC359E" w:rsidRPr="006142C6" w:rsidTr="006142C6">
        <w:tc>
          <w:tcPr>
            <w:tcW w:w="390" w:type="pct"/>
            <w:shd w:val="clear" w:color="auto" w:fill="auto"/>
            <w:vAlign w:val="center"/>
          </w:tcPr>
          <w:p w:rsidR="00EC359E" w:rsidRPr="006142C6" w:rsidRDefault="006142C6" w:rsidP="005D60B1">
            <w:pPr>
              <w:widowControl/>
              <w:spacing w:after="120" w:line="360" w:lineRule="auto"/>
              <w:jc w:val="both"/>
              <w:rPr>
                <w:rFonts w:ascii="Arial" w:eastAsia="Arial" w:hAnsi="Arial" w:cs="Arial"/>
                <w:color w:val="010000"/>
                <w:sz w:val="20"/>
                <w:szCs w:val="20"/>
              </w:rPr>
            </w:pPr>
            <w:r w:rsidRPr="006142C6">
              <w:rPr>
                <w:rFonts w:ascii="Arial" w:hAnsi="Arial" w:cs="Arial"/>
                <w:color w:val="010000"/>
                <w:sz w:val="20"/>
              </w:rPr>
              <w:t>2.</w:t>
            </w:r>
          </w:p>
        </w:tc>
        <w:tc>
          <w:tcPr>
            <w:tcW w:w="1417" w:type="pct"/>
            <w:shd w:val="clear" w:color="auto" w:fill="auto"/>
            <w:vAlign w:val="center"/>
          </w:tcPr>
          <w:p w:rsidR="00EC359E" w:rsidRPr="006142C6" w:rsidRDefault="006142C6" w:rsidP="005D60B1">
            <w:pPr>
              <w:widowControl/>
              <w:spacing w:after="120" w:line="360" w:lineRule="auto"/>
              <w:jc w:val="both"/>
              <w:rPr>
                <w:rFonts w:ascii="Arial" w:eastAsia="Arial" w:hAnsi="Arial" w:cs="Arial"/>
                <w:color w:val="010000"/>
                <w:sz w:val="20"/>
                <w:szCs w:val="20"/>
              </w:rPr>
            </w:pPr>
            <w:r w:rsidRPr="006142C6">
              <w:rPr>
                <w:rFonts w:ascii="Arial" w:hAnsi="Arial" w:cs="Arial"/>
                <w:color w:val="010000"/>
                <w:sz w:val="20"/>
              </w:rPr>
              <w:t>Securities code</w:t>
            </w:r>
          </w:p>
        </w:tc>
        <w:tc>
          <w:tcPr>
            <w:tcW w:w="3193" w:type="pct"/>
            <w:shd w:val="clear" w:color="auto" w:fill="auto"/>
            <w:vAlign w:val="center"/>
          </w:tcPr>
          <w:p w:rsidR="00EC359E" w:rsidRPr="006142C6" w:rsidRDefault="006142C6" w:rsidP="005D60B1">
            <w:pPr>
              <w:widowControl/>
              <w:spacing w:after="120" w:line="360" w:lineRule="auto"/>
              <w:jc w:val="both"/>
              <w:rPr>
                <w:rFonts w:ascii="Arial" w:eastAsia="Arial" w:hAnsi="Arial" w:cs="Arial"/>
                <w:color w:val="010000"/>
                <w:sz w:val="20"/>
                <w:szCs w:val="20"/>
              </w:rPr>
            </w:pPr>
            <w:r w:rsidRPr="006142C6">
              <w:rPr>
                <w:rFonts w:ascii="Arial" w:hAnsi="Arial" w:cs="Arial"/>
                <w:color w:val="010000"/>
                <w:sz w:val="20"/>
              </w:rPr>
              <w:t>: GDA</w:t>
            </w:r>
          </w:p>
        </w:tc>
      </w:tr>
      <w:tr w:rsidR="00EC359E" w:rsidRPr="006142C6" w:rsidTr="006142C6">
        <w:tc>
          <w:tcPr>
            <w:tcW w:w="390" w:type="pct"/>
            <w:shd w:val="clear" w:color="auto" w:fill="auto"/>
            <w:vAlign w:val="center"/>
          </w:tcPr>
          <w:p w:rsidR="00EC359E" w:rsidRPr="006142C6" w:rsidRDefault="006142C6" w:rsidP="005D60B1">
            <w:pPr>
              <w:widowControl/>
              <w:spacing w:after="120" w:line="360" w:lineRule="auto"/>
              <w:jc w:val="both"/>
              <w:rPr>
                <w:rFonts w:ascii="Arial" w:eastAsia="Arial" w:hAnsi="Arial" w:cs="Arial"/>
                <w:color w:val="010000"/>
                <w:sz w:val="20"/>
                <w:szCs w:val="20"/>
              </w:rPr>
            </w:pPr>
            <w:r w:rsidRPr="006142C6">
              <w:rPr>
                <w:rFonts w:ascii="Arial" w:hAnsi="Arial" w:cs="Arial"/>
                <w:color w:val="010000"/>
                <w:sz w:val="20"/>
              </w:rPr>
              <w:t>3.</w:t>
            </w:r>
          </w:p>
        </w:tc>
        <w:tc>
          <w:tcPr>
            <w:tcW w:w="1417" w:type="pct"/>
            <w:shd w:val="clear" w:color="auto" w:fill="auto"/>
            <w:vAlign w:val="center"/>
          </w:tcPr>
          <w:p w:rsidR="00EC359E" w:rsidRPr="006142C6" w:rsidRDefault="006142C6" w:rsidP="005D60B1">
            <w:pPr>
              <w:widowControl/>
              <w:spacing w:after="120" w:line="360" w:lineRule="auto"/>
              <w:jc w:val="both"/>
              <w:rPr>
                <w:rFonts w:ascii="Arial" w:eastAsia="Arial" w:hAnsi="Arial" w:cs="Arial"/>
                <w:color w:val="010000"/>
                <w:sz w:val="20"/>
                <w:szCs w:val="20"/>
              </w:rPr>
            </w:pPr>
            <w:r w:rsidRPr="006142C6">
              <w:rPr>
                <w:rFonts w:ascii="Arial" w:hAnsi="Arial" w:cs="Arial"/>
                <w:color w:val="010000"/>
                <w:sz w:val="20"/>
              </w:rPr>
              <w:t>Securities type</w:t>
            </w:r>
          </w:p>
        </w:tc>
        <w:tc>
          <w:tcPr>
            <w:tcW w:w="3193" w:type="pct"/>
            <w:shd w:val="clear" w:color="auto" w:fill="auto"/>
            <w:vAlign w:val="center"/>
          </w:tcPr>
          <w:p w:rsidR="00EC359E" w:rsidRPr="006142C6" w:rsidRDefault="006142C6" w:rsidP="005D60B1">
            <w:pPr>
              <w:widowControl/>
              <w:spacing w:after="120" w:line="360" w:lineRule="auto"/>
              <w:jc w:val="both"/>
              <w:rPr>
                <w:rFonts w:ascii="Arial" w:eastAsia="Arial" w:hAnsi="Arial" w:cs="Arial"/>
                <w:color w:val="010000"/>
                <w:sz w:val="20"/>
                <w:szCs w:val="20"/>
              </w:rPr>
            </w:pPr>
            <w:r w:rsidRPr="006142C6">
              <w:rPr>
                <w:rFonts w:ascii="Arial" w:hAnsi="Arial" w:cs="Arial"/>
                <w:color w:val="010000"/>
                <w:sz w:val="20"/>
              </w:rPr>
              <w:t>: Common shares</w:t>
            </w:r>
          </w:p>
        </w:tc>
      </w:tr>
      <w:tr w:rsidR="00EC359E" w:rsidRPr="006142C6" w:rsidTr="006142C6">
        <w:tc>
          <w:tcPr>
            <w:tcW w:w="390" w:type="pct"/>
            <w:shd w:val="clear" w:color="auto" w:fill="auto"/>
            <w:vAlign w:val="center"/>
          </w:tcPr>
          <w:p w:rsidR="00EC359E" w:rsidRPr="006142C6" w:rsidRDefault="006142C6" w:rsidP="005D60B1">
            <w:pPr>
              <w:widowControl/>
              <w:spacing w:after="120" w:line="360" w:lineRule="auto"/>
              <w:jc w:val="both"/>
              <w:rPr>
                <w:rFonts w:ascii="Arial" w:eastAsia="Arial" w:hAnsi="Arial" w:cs="Arial"/>
                <w:color w:val="010000"/>
                <w:sz w:val="20"/>
                <w:szCs w:val="20"/>
              </w:rPr>
            </w:pPr>
            <w:r w:rsidRPr="006142C6">
              <w:rPr>
                <w:rFonts w:ascii="Arial" w:hAnsi="Arial" w:cs="Arial"/>
                <w:color w:val="010000"/>
                <w:sz w:val="20"/>
              </w:rPr>
              <w:t>4.</w:t>
            </w:r>
          </w:p>
        </w:tc>
        <w:tc>
          <w:tcPr>
            <w:tcW w:w="1417" w:type="pct"/>
            <w:shd w:val="clear" w:color="auto" w:fill="auto"/>
            <w:vAlign w:val="center"/>
          </w:tcPr>
          <w:p w:rsidR="00EC359E" w:rsidRPr="006142C6" w:rsidRDefault="006142C6" w:rsidP="005D60B1">
            <w:pPr>
              <w:widowControl/>
              <w:spacing w:after="120" w:line="360" w:lineRule="auto"/>
              <w:jc w:val="both"/>
              <w:rPr>
                <w:rFonts w:ascii="Arial" w:eastAsia="Arial" w:hAnsi="Arial" w:cs="Arial"/>
                <w:color w:val="010000"/>
                <w:sz w:val="20"/>
                <w:szCs w:val="20"/>
              </w:rPr>
            </w:pPr>
            <w:r w:rsidRPr="006142C6">
              <w:rPr>
                <w:rFonts w:ascii="Arial" w:hAnsi="Arial" w:cs="Arial"/>
                <w:color w:val="010000"/>
                <w:sz w:val="20"/>
              </w:rPr>
              <w:t>Par value</w:t>
            </w:r>
          </w:p>
        </w:tc>
        <w:tc>
          <w:tcPr>
            <w:tcW w:w="3193" w:type="pct"/>
            <w:shd w:val="clear" w:color="auto" w:fill="auto"/>
            <w:vAlign w:val="center"/>
          </w:tcPr>
          <w:p w:rsidR="00EC359E" w:rsidRPr="006142C6" w:rsidRDefault="006142C6" w:rsidP="005D60B1">
            <w:pPr>
              <w:widowControl/>
              <w:spacing w:after="120" w:line="360" w:lineRule="auto"/>
              <w:jc w:val="both"/>
              <w:rPr>
                <w:rFonts w:ascii="Arial" w:eastAsia="Arial" w:hAnsi="Arial" w:cs="Arial"/>
                <w:color w:val="010000"/>
                <w:sz w:val="20"/>
                <w:szCs w:val="20"/>
              </w:rPr>
            </w:pPr>
            <w:r w:rsidRPr="006142C6">
              <w:rPr>
                <w:rFonts w:ascii="Arial" w:hAnsi="Arial" w:cs="Arial"/>
                <w:color w:val="010000"/>
                <w:sz w:val="20"/>
              </w:rPr>
              <w:t>: VND10,000/share</w:t>
            </w:r>
          </w:p>
        </w:tc>
      </w:tr>
      <w:tr w:rsidR="00EC359E" w:rsidRPr="006142C6" w:rsidTr="006142C6">
        <w:tc>
          <w:tcPr>
            <w:tcW w:w="390" w:type="pct"/>
            <w:shd w:val="clear" w:color="auto" w:fill="auto"/>
            <w:vAlign w:val="center"/>
          </w:tcPr>
          <w:p w:rsidR="00EC359E" w:rsidRPr="006142C6" w:rsidRDefault="006142C6" w:rsidP="005D60B1">
            <w:pPr>
              <w:widowControl/>
              <w:spacing w:after="120" w:line="360" w:lineRule="auto"/>
              <w:jc w:val="both"/>
              <w:rPr>
                <w:rFonts w:ascii="Arial" w:eastAsia="Arial" w:hAnsi="Arial" w:cs="Arial"/>
                <w:color w:val="010000"/>
                <w:sz w:val="20"/>
                <w:szCs w:val="20"/>
              </w:rPr>
            </w:pPr>
            <w:r w:rsidRPr="006142C6">
              <w:rPr>
                <w:rFonts w:ascii="Arial" w:hAnsi="Arial" w:cs="Arial"/>
                <w:color w:val="010000"/>
                <w:sz w:val="20"/>
              </w:rPr>
              <w:t>5.</w:t>
            </w:r>
          </w:p>
        </w:tc>
        <w:tc>
          <w:tcPr>
            <w:tcW w:w="1417" w:type="pct"/>
            <w:shd w:val="clear" w:color="auto" w:fill="auto"/>
            <w:vAlign w:val="center"/>
          </w:tcPr>
          <w:p w:rsidR="00EC359E" w:rsidRPr="006142C6" w:rsidRDefault="006142C6" w:rsidP="005D60B1">
            <w:pPr>
              <w:widowControl/>
              <w:spacing w:after="120" w:line="360" w:lineRule="auto"/>
              <w:jc w:val="both"/>
              <w:rPr>
                <w:rFonts w:ascii="Arial" w:eastAsia="Arial" w:hAnsi="Arial" w:cs="Arial"/>
                <w:color w:val="010000"/>
                <w:sz w:val="20"/>
                <w:szCs w:val="20"/>
              </w:rPr>
            </w:pPr>
            <w:r w:rsidRPr="006142C6">
              <w:rPr>
                <w:rFonts w:ascii="Arial" w:hAnsi="Arial" w:cs="Arial"/>
                <w:color w:val="010000"/>
                <w:sz w:val="20"/>
              </w:rPr>
              <w:t>Number of outstanding shares</w:t>
            </w:r>
          </w:p>
        </w:tc>
        <w:tc>
          <w:tcPr>
            <w:tcW w:w="3193" w:type="pct"/>
            <w:shd w:val="clear" w:color="auto" w:fill="auto"/>
            <w:vAlign w:val="center"/>
          </w:tcPr>
          <w:p w:rsidR="00EC359E" w:rsidRPr="006142C6" w:rsidRDefault="006142C6" w:rsidP="005D60B1">
            <w:pPr>
              <w:widowControl/>
              <w:spacing w:after="120" w:line="360" w:lineRule="auto"/>
              <w:jc w:val="both"/>
              <w:rPr>
                <w:rFonts w:ascii="Arial" w:eastAsia="Arial" w:hAnsi="Arial" w:cs="Arial"/>
                <w:color w:val="010000"/>
                <w:sz w:val="20"/>
                <w:szCs w:val="20"/>
              </w:rPr>
            </w:pPr>
            <w:r w:rsidRPr="006142C6">
              <w:rPr>
                <w:rFonts w:ascii="Arial" w:hAnsi="Arial" w:cs="Arial"/>
                <w:color w:val="010000"/>
                <w:sz w:val="20"/>
              </w:rPr>
              <w:t>: 114,691,510 shares</w:t>
            </w:r>
          </w:p>
        </w:tc>
      </w:tr>
      <w:tr w:rsidR="00EC359E" w:rsidRPr="006142C6" w:rsidTr="006142C6">
        <w:tc>
          <w:tcPr>
            <w:tcW w:w="390" w:type="pct"/>
            <w:shd w:val="clear" w:color="auto" w:fill="auto"/>
            <w:vAlign w:val="center"/>
          </w:tcPr>
          <w:p w:rsidR="00EC359E" w:rsidRPr="006142C6" w:rsidRDefault="006142C6" w:rsidP="005D60B1">
            <w:pPr>
              <w:widowControl/>
              <w:spacing w:after="120" w:line="360" w:lineRule="auto"/>
              <w:jc w:val="both"/>
              <w:rPr>
                <w:rFonts w:ascii="Arial" w:eastAsia="Arial" w:hAnsi="Arial" w:cs="Arial"/>
                <w:color w:val="010000"/>
                <w:sz w:val="20"/>
                <w:szCs w:val="20"/>
              </w:rPr>
            </w:pPr>
            <w:r w:rsidRPr="006142C6">
              <w:rPr>
                <w:rFonts w:ascii="Arial" w:hAnsi="Arial" w:cs="Arial"/>
                <w:color w:val="010000"/>
                <w:sz w:val="20"/>
              </w:rPr>
              <w:t>6.</w:t>
            </w:r>
          </w:p>
        </w:tc>
        <w:tc>
          <w:tcPr>
            <w:tcW w:w="1417" w:type="pct"/>
            <w:shd w:val="clear" w:color="auto" w:fill="auto"/>
            <w:vAlign w:val="center"/>
          </w:tcPr>
          <w:p w:rsidR="00EC359E" w:rsidRPr="006142C6" w:rsidRDefault="006142C6" w:rsidP="005D60B1">
            <w:pPr>
              <w:widowControl/>
              <w:spacing w:after="120" w:line="360" w:lineRule="auto"/>
              <w:jc w:val="both"/>
              <w:rPr>
                <w:rFonts w:ascii="Arial" w:eastAsia="Arial" w:hAnsi="Arial" w:cs="Arial"/>
                <w:color w:val="010000"/>
                <w:sz w:val="20"/>
                <w:szCs w:val="20"/>
              </w:rPr>
            </w:pPr>
            <w:r w:rsidRPr="006142C6">
              <w:rPr>
                <w:rFonts w:ascii="Arial" w:hAnsi="Arial" w:cs="Arial"/>
                <w:color w:val="010000"/>
                <w:sz w:val="20"/>
              </w:rPr>
              <w:t>Dividend payment rate by shares</w:t>
            </w:r>
          </w:p>
        </w:tc>
        <w:tc>
          <w:tcPr>
            <w:tcW w:w="3193" w:type="pct"/>
            <w:shd w:val="clear" w:color="auto" w:fill="auto"/>
            <w:vAlign w:val="center"/>
          </w:tcPr>
          <w:p w:rsidR="00EC359E" w:rsidRPr="006142C6" w:rsidRDefault="006142C6" w:rsidP="005D60B1">
            <w:pPr>
              <w:widowControl/>
              <w:spacing w:after="120" w:line="360" w:lineRule="auto"/>
              <w:jc w:val="both"/>
              <w:rPr>
                <w:rFonts w:ascii="Arial" w:eastAsia="Arial" w:hAnsi="Arial" w:cs="Arial"/>
                <w:color w:val="010000"/>
                <w:sz w:val="20"/>
                <w:szCs w:val="20"/>
              </w:rPr>
            </w:pPr>
            <w:r w:rsidRPr="006142C6">
              <w:rPr>
                <w:rFonts w:ascii="Arial" w:hAnsi="Arial" w:cs="Arial"/>
                <w:color w:val="010000"/>
                <w:sz w:val="20"/>
              </w:rPr>
              <w:t>: 20% of par value (Shareholders owning 05 shares will receive an additional 01 new share)</w:t>
            </w:r>
          </w:p>
        </w:tc>
      </w:tr>
      <w:tr w:rsidR="00EC359E" w:rsidRPr="006142C6" w:rsidTr="006142C6">
        <w:tc>
          <w:tcPr>
            <w:tcW w:w="390" w:type="pct"/>
            <w:shd w:val="clear" w:color="auto" w:fill="auto"/>
            <w:vAlign w:val="center"/>
          </w:tcPr>
          <w:p w:rsidR="00EC359E" w:rsidRPr="006142C6" w:rsidRDefault="006142C6" w:rsidP="005D60B1">
            <w:pPr>
              <w:widowControl/>
              <w:spacing w:after="120" w:line="360" w:lineRule="auto"/>
              <w:jc w:val="both"/>
              <w:rPr>
                <w:rFonts w:ascii="Arial" w:eastAsia="Arial" w:hAnsi="Arial" w:cs="Arial"/>
                <w:color w:val="010000"/>
                <w:sz w:val="20"/>
                <w:szCs w:val="20"/>
              </w:rPr>
            </w:pPr>
            <w:r w:rsidRPr="006142C6">
              <w:rPr>
                <w:rFonts w:ascii="Arial" w:hAnsi="Arial" w:cs="Arial"/>
                <w:color w:val="010000"/>
                <w:sz w:val="20"/>
              </w:rPr>
              <w:t>7.</w:t>
            </w:r>
          </w:p>
        </w:tc>
        <w:tc>
          <w:tcPr>
            <w:tcW w:w="1417" w:type="pct"/>
            <w:shd w:val="clear" w:color="auto" w:fill="auto"/>
            <w:vAlign w:val="center"/>
          </w:tcPr>
          <w:p w:rsidR="00EC359E" w:rsidRPr="006142C6" w:rsidRDefault="006142C6" w:rsidP="005D60B1">
            <w:pPr>
              <w:widowControl/>
              <w:spacing w:after="120" w:line="360" w:lineRule="auto"/>
              <w:jc w:val="both"/>
              <w:rPr>
                <w:rFonts w:ascii="Arial" w:eastAsia="Arial" w:hAnsi="Arial" w:cs="Arial"/>
                <w:color w:val="010000"/>
                <w:sz w:val="20"/>
                <w:szCs w:val="20"/>
              </w:rPr>
            </w:pPr>
            <w:r w:rsidRPr="006142C6">
              <w:rPr>
                <w:rFonts w:ascii="Arial" w:hAnsi="Arial" w:cs="Arial"/>
                <w:color w:val="010000"/>
                <w:sz w:val="20"/>
              </w:rPr>
              <w:t>Number of issued shares for dividend payment (expected)</w:t>
            </w:r>
          </w:p>
        </w:tc>
        <w:tc>
          <w:tcPr>
            <w:tcW w:w="3193" w:type="pct"/>
            <w:shd w:val="clear" w:color="auto" w:fill="auto"/>
            <w:vAlign w:val="center"/>
          </w:tcPr>
          <w:p w:rsidR="00EC359E" w:rsidRPr="006142C6" w:rsidRDefault="006142C6" w:rsidP="005D60B1">
            <w:pPr>
              <w:widowControl/>
              <w:spacing w:after="120" w:line="360" w:lineRule="auto"/>
              <w:jc w:val="both"/>
              <w:rPr>
                <w:rFonts w:ascii="Arial" w:eastAsia="Arial" w:hAnsi="Arial" w:cs="Arial"/>
                <w:color w:val="010000"/>
                <w:sz w:val="20"/>
                <w:szCs w:val="20"/>
              </w:rPr>
            </w:pPr>
            <w:r w:rsidRPr="006142C6">
              <w:rPr>
                <w:rFonts w:ascii="Arial" w:hAnsi="Arial" w:cs="Arial"/>
                <w:color w:val="010000"/>
                <w:sz w:val="20"/>
              </w:rPr>
              <w:t>: 22,938,302 shares</w:t>
            </w:r>
          </w:p>
        </w:tc>
      </w:tr>
      <w:tr w:rsidR="00EC359E" w:rsidRPr="006142C6" w:rsidTr="006142C6">
        <w:tc>
          <w:tcPr>
            <w:tcW w:w="390" w:type="pct"/>
            <w:shd w:val="clear" w:color="auto" w:fill="auto"/>
            <w:vAlign w:val="center"/>
          </w:tcPr>
          <w:p w:rsidR="00EC359E" w:rsidRPr="006142C6" w:rsidRDefault="006142C6" w:rsidP="005D60B1">
            <w:pPr>
              <w:widowControl/>
              <w:spacing w:after="120" w:line="360" w:lineRule="auto"/>
              <w:jc w:val="both"/>
              <w:rPr>
                <w:rFonts w:ascii="Arial" w:eastAsia="Arial" w:hAnsi="Arial" w:cs="Arial"/>
                <w:color w:val="010000"/>
                <w:sz w:val="20"/>
                <w:szCs w:val="20"/>
              </w:rPr>
            </w:pPr>
            <w:r w:rsidRPr="006142C6">
              <w:rPr>
                <w:rFonts w:ascii="Arial" w:hAnsi="Arial" w:cs="Arial"/>
                <w:color w:val="010000"/>
                <w:sz w:val="20"/>
              </w:rPr>
              <w:t>8.</w:t>
            </w:r>
          </w:p>
        </w:tc>
        <w:tc>
          <w:tcPr>
            <w:tcW w:w="1417" w:type="pct"/>
            <w:shd w:val="clear" w:color="auto" w:fill="auto"/>
            <w:vAlign w:val="center"/>
          </w:tcPr>
          <w:p w:rsidR="00EC359E" w:rsidRPr="006142C6" w:rsidRDefault="006142C6" w:rsidP="005D60B1">
            <w:pPr>
              <w:widowControl/>
              <w:spacing w:after="120" w:line="360" w:lineRule="auto"/>
              <w:jc w:val="both"/>
              <w:rPr>
                <w:rFonts w:ascii="Arial" w:eastAsia="Arial" w:hAnsi="Arial" w:cs="Arial"/>
                <w:color w:val="010000"/>
                <w:sz w:val="20"/>
                <w:szCs w:val="20"/>
              </w:rPr>
            </w:pPr>
            <w:r w:rsidRPr="006142C6">
              <w:rPr>
                <w:rFonts w:ascii="Arial" w:hAnsi="Arial" w:cs="Arial"/>
                <w:color w:val="010000"/>
                <w:sz w:val="20"/>
              </w:rPr>
              <w:t>Total number of shares expected after dividend payment</w:t>
            </w:r>
          </w:p>
        </w:tc>
        <w:tc>
          <w:tcPr>
            <w:tcW w:w="3193" w:type="pct"/>
            <w:shd w:val="clear" w:color="auto" w:fill="auto"/>
            <w:vAlign w:val="center"/>
          </w:tcPr>
          <w:p w:rsidR="00EC359E" w:rsidRPr="006142C6" w:rsidRDefault="006142C6" w:rsidP="005D60B1">
            <w:pPr>
              <w:widowControl/>
              <w:spacing w:after="120" w:line="360" w:lineRule="auto"/>
              <w:jc w:val="both"/>
              <w:rPr>
                <w:rFonts w:ascii="Arial" w:eastAsia="Arial" w:hAnsi="Arial" w:cs="Arial"/>
                <w:color w:val="010000"/>
                <w:sz w:val="20"/>
                <w:szCs w:val="20"/>
              </w:rPr>
            </w:pPr>
            <w:r w:rsidRPr="006142C6">
              <w:rPr>
                <w:rFonts w:ascii="Arial" w:hAnsi="Arial" w:cs="Arial"/>
                <w:color w:val="010000"/>
                <w:sz w:val="20"/>
              </w:rPr>
              <w:t>: 137,629,812 shares</w:t>
            </w:r>
          </w:p>
        </w:tc>
      </w:tr>
      <w:tr w:rsidR="00EC359E" w:rsidRPr="006142C6" w:rsidTr="006142C6">
        <w:tc>
          <w:tcPr>
            <w:tcW w:w="390" w:type="pct"/>
            <w:shd w:val="clear" w:color="auto" w:fill="auto"/>
            <w:vAlign w:val="center"/>
          </w:tcPr>
          <w:p w:rsidR="00EC359E" w:rsidRPr="006142C6" w:rsidRDefault="006142C6" w:rsidP="005D60B1">
            <w:pPr>
              <w:widowControl/>
              <w:spacing w:after="120" w:line="360" w:lineRule="auto"/>
              <w:jc w:val="both"/>
              <w:rPr>
                <w:rFonts w:ascii="Arial" w:eastAsia="Arial" w:hAnsi="Arial" w:cs="Arial"/>
                <w:color w:val="010000"/>
                <w:sz w:val="20"/>
                <w:szCs w:val="20"/>
              </w:rPr>
            </w:pPr>
            <w:r w:rsidRPr="006142C6">
              <w:rPr>
                <w:rFonts w:ascii="Arial" w:hAnsi="Arial" w:cs="Arial"/>
                <w:color w:val="010000"/>
                <w:sz w:val="20"/>
              </w:rPr>
              <w:t>9.</w:t>
            </w:r>
          </w:p>
        </w:tc>
        <w:tc>
          <w:tcPr>
            <w:tcW w:w="1417" w:type="pct"/>
            <w:shd w:val="clear" w:color="auto" w:fill="auto"/>
            <w:vAlign w:val="center"/>
          </w:tcPr>
          <w:p w:rsidR="00EC359E" w:rsidRPr="006142C6" w:rsidRDefault="006142C6" w:rsidP="005D60B1">
            <w:pPr>
              <w:pBdr>
                <w:top w:val="nil"/>
                <w:left w:val="nil"/>
                <w:bottom w:val="nil"/>
                <w:right w:val="nil"/>
                <w:between w:val="nil"/>
              </w:pBdr>
              <w:spacing w:after="120" w:line="360" w:lineRule="auto"/>
              <w:jc w:val="both"/>
              <w:rPr>
                <w:rFonts w:ascii="Arial" w:eastAsia="Arial" w:hAnsi="Arial" w:cs="Arial"/>
                <w:color w:val="010000"/>
                <w:sz w:val="20"/>
                <w:szCs w:val="20"/>
              </w:rPr>
            </w:pPr>
            <w:r w:rsidRPr="006142C6">
              <w:rPr>
                <w:rFonts w:ascii="Arial" w:hAnsi="Arial" w:cs="Arial"/>
                <w:color w:val="010000"/>
                <w:sz w:val="20"/>
              </w:rPr>
              <w:t>Expected charter capital after dividend payment</w:t>
            </w:r>
          </w:p>
          <w:p w:rsidR="00EC359E" w:rsidRPr="006142C6" w:rsidRDefault="00EC359E" w:rsidP="005D60B1">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3193" w:type="pct"/>
            <w:shd w:val="clear" w:color="auto" w:fill="auto"/>
            <w:vAlign w:val="center"/>
          </w:tcPr>
          <w:p w:rsidR="00EC359E" w:rsidRPr="006142C6" w:rsidRDefault="006142C6" w:rsidP="005D60B1">
            <w:pPr>
              <w:pBdr>
                <w:top w:val="nil"/>
                <w:left w:val="nil"/>
                <w:bottom w:val="nil"/>
                <w:right w:val="nil"/>
                <w:between w:val="nil"/>
              </w:pBdr>
              <w:spacing w:after="120" w:line="360" w:lineRule="auto"/>
              <w:jc w:val="both"/>
              <w:rPr>
                <w:rFonts w:ascii="Arial" w:eastAsia="Arial" w:hAnsi="Arial" w:cs="Arial"/>
                <w:color w:val="010000"/>
                <w:sz w:val="20"/>
                <w:szCs w:val="20"/>
              </w:rPr>
            </w:pPr>
            <w:r w:rsidRPr="006142C6">
              <w:rPr>
                <w:rFonts w:ascii="Arial" w:hAnsi="Arial" w:cs="Arial"/>
                <w:color w:val="010000"/>
                <w:sz w:val="20"/>
              </w:rPr>
              <w:t>: VND1,376,298,120,000</w:t>
            </w:r>
          </w:p>
        </w:tc>
      </w:tr>
      <w:tr w:rsidR="00EC359E" w:rsidRPr="006142C6" w:rsidTr="006142C6">
        <w:tc>
          <w:tcPr>
            <w:tcW w:w="390" w:type="pct"/>
            <w:shd w:val="clear" w:color="auto" w:fill="auto"/>
            <w:vAlign w:val="center"/>
          </w:tcPr>
          <w:p w:rsidR="00EC359E" w:rsidRPr="006142C6" w:rsidRDefault="006142C6" w:rsidP="005D60B1">
            <w:pPr>
              <w:widowControl/>
              <w:spacing w:after="120" w:line="360" w:lineRule="auto"/>
              <w:jc w:val="both"/>
              <w:rPr>
                <w:rFonts w:ascii="Arial" w:eastAsia="Arial" w:hAnsi="Arial" w:cs="Arial"/>
                <w:color w:val="010000"/>
                <w:sz w:val="20"/>
                <w:szCs w:val="20"/>
              </w:rPr>
            </w:pPr>
            <w:r w:rsidRPr="006142C6">
              <w:rPr>
                <w:rFonts w:ascii="Arial" w:hAnsi="Arial" w:cs="Arial"/>
                <w:color w:val="010000"/>
                <w:sz w:val="20"/>
              </w:rPr>
              <w:t>10.</w:t>
            </w:r>
          </w:p>
        </w:tc>
        <w:tc>
          <w:tcPr>
            <w:tcW w:w="1417" w:type="pct"/>
            <w:shd w:val="clear" w:color="auto" w:fill="auto"/>
            <w:vAlign w:val="center"/>
          </w:tcPr>
          <w:p w:rsidR="00EC359E" w:rsidRPr="006142C6" w:rsidRDefault="006142C6" w:rsidP="005D60B1">
            <w:pPr>
              <w:pBdr>
                <w:top w:val="nil"/>
                <w:left w:val="nil"/>
                <w:bottom w:val="nil"/>
                <w:right w:val="nil"/>
                <w:between w:val="nil"/>
              </w:pBdr>
              <w:spacing w:after="120" w:line="360" w:lineRule="auto"/>
              <w:jc w:val="both"/>
              <w:rPr>
                <w:rFonts w:ascii="Arial" w:eastAsia="Arial" w:hAnsi="Arial" w:cs="Arial"/>
                <w:color w:val="010000"/>
                <w:sz w:val="20"/>
                <w:szCs w:val="20"/>
              </w:rPr>
            </w:pPr>
            <w:r w:rsidRPr="006142C6">
              <w:rPr>
                <w:rFonts w:ascii="Arial" w:hAnsi="Arial" w:cs="Arial"/>
                <w:color w:val="010000"/>
                <w:sz w:val="20"/>
              </w:rPr>
              <w:t>Capital source for implementation</w:t>
            </w:r>
          </w:p>
        </w:tc>
        <w:tc>
          <w:tcPr>
            <w:tcW w:w="3193" w:type="pct"/>
            <w:shd w:val="clear" w:color="auto" w:fill="auto"/>
            <w:vAlign w:val="center"/>
          </w:tcPr>
          <w:p w:rsidR="00EC359E" w:rsidRPr="006142C6" w:rsidRDefault="006142C6" w:rsidP="005D60B1">
            <w:pPr>
              <w:pBdr>
                <w:top w:val="nil"/>
                <w:left w:val="nil"/>
                <w:bottom w:val="nil"/>
                <w:right w:val="nil"/>
                <w:between w:val="nil"/>
              </w:pBdr>
              <w:spacing w:after="120" w:line="360" w:lineRule="auto"/>
              <w:jc w:val="both"/>
              <w:rPr>
                <w:rFonts w:ascii="Arial" w:eastAsia="Arial" w:hAnsi="Arial" w:cs="Arial"/>
                <w:color w:val="010000"/>
                <w:sz w:val="20"/>
                <w:szCs w:val="20"/>
              </w:rPr>
            </w:pPr>
            <w:r w:rsidRPr="006142C6">
              <w:rPr>
                <w:rFonts w:ascii="Arial" w:hAnsi="Arial" w:cs="Arial"/>
                <w:color w:val="010000"/>
                <w:sz w:val="20"/>
              </w:rPr>
              <w:t>: Undistributed profit after tax on the Audited Financial Statements 2023</w:t>
            </w:r>
          </w:p>
        </w:tc>
      </w:tr>
      <w:tr w:rsidR="00EC359E" w:rsidRPr="006142C6" w:rsidTr="006142C6">
        <w:tc>
          <w:tcPr>
            <w:tcW w:w="390" w:type="pct"/>
            <w:shd w:val="clear" w:color="auto" w:fill="auto"/>
            <w:vAlign w:val="center"/>
          </w:tcPr>
          <w:p w:rsidR="00EC359E" w:rsidRPr="006142C6" w:rsidRDefault="006142C6" w:rsidP="005D60B1">
            <w:pPr>
              <w:widowControl/>
              <w:spacing w:after="120" w:line="360" w:lineRule="auto"/>
              <w:jc w:val="both"/>
              <w:rPr>
                <w:rFonts w:ascii="Arial" w:eastAsia="Arial" w:hAnsi="Arial" w:cs="Arial"/>
                <w:color w:val="010000"/>
                <w:sz w:val="20"/>
                <w:szCs w:val="20"/>
              </w:rPr>
            </w:pPr>
            <w:r w:rsidRPr="006142C6">
              <w:rPr>
                <w:rFonts w:ascii="Arial" w:hAnsi="Arial" w:cs="Arial"/>
                <w:color w:val="010000"/>
                <w:sz w:val="20"/>
              </w:rPr>
              <w:t>11.</w:t>
            </w:r>
          </w:p>
        </w:tc>
        <w:tc>
          <w:tcPr>
            <w:tcW w:w="1417" w:type="pct"/>
            <w:shd w:val="clear" w:color="auto" w:fill="auto"/>
            <w:vAlign w:val="center"/>
          </w:tcPr>
          <w:p w:rsidR="00EC359E" w:rsidRPr="006142C6" w:rsidRDefault="006142C6" w:rsidP="005D60B1">
            <w:pPr>
              <w:pBdr>
                <w:top w:val="nil"/>
                <w:left w:val="nil"/>
                <w:bottom w:val="nil"/>
                <w:right w:val="nil"/>
                <w:between w:val="nil"/>
              </w:pBdr>
              <w:spacing w:after="120" w:line="360" w:lineRule="auto"/>
              <w:jc w:val="both"/>
              <w:rPr>
                <w:rFonts w:ascii="Arial" w:eastAsia="Arial" w:hAnsi="Arial" w:cs="Arial"/>
                <w:color w:val="010000"/>
                <w:sz w:val="20"/>
                <w:szCs w:val="20"/>
              </w:rPr>
            </w:pPr>
            <w:r w:rsidRPr="006142C6">
              <w:rPr>
                <w:rFonts w:ascii="Arial" w:hAnsi="Arial" w:cs="Arial"/>
                <w:color w:val="010000"/>
                <w:sz w:val="20"/>
              </w:rPr>
              <w:t>Implementation time</w:t>
            </w:r>
          </w:p>
        </w:tc>
        <w:tc>
          <w:tcPr>
            <w:tcW w:w="3193" w:type="pct"/>
            <w:shd w:val="clear" w:color="auto" w:fill="auto"/>
            <w:vAlign w:val="center"/>
          </w:tcPr>
          <w:p w:rsidR="00EC359E" w:rsidRPr="006142C6" w:rsidRDefault="006142C6" w:rsidP="005D60B1">
            <w:pPr>
              <w:pBdr>
                <w:top w:val="nil"/>
                <w:left w:val="nil"/>
                <w:bottom w:val="nil"/>
                <w:right w:val="nil"/>
                <w:between w:val="nil"/>
              </w:pBdr>
              <w:spacing w:after="120" w:line="360" w:lineRule="auto"/>
              <w:jc w:val="both"/>
              <w:rPr>
                <w:rFonts w:ascii="Arial" w:eastAsia="Arial" w:hAnsi="Arial" w:cs="Arial"/>
                <w:color w:val="010000"/>
                <w:sz w:val="20"/>
                <w:szCs w:val="20"/>
              </w:rPr>
            </w:pPr>
            <w:r w:rsidRPr="006142C6">
              <w:rPr>
                <w:rFonts w:ascii="Arial" w:hAnsi="Arial" w:cs="Arial"/>
                <w:color w:val="010000"/>
                <w:sz w:val="20"/>
              </w:rPr>
              <w:t xml:space="preserve">: Expected within 45 days from the date the State Securities Commission approves on the share </w:t>
            </w:r>
            <w:r w:rsidR="005D60B1">
              <w:rPr>
                <w:rFonts w:ascii="Arial" w:hAnsi="Arial" w:cs="Arial"/>
                <w:color w:val="010000"/>
                <w:sz w:val="20"/>
              </w:rPr>
              <w:t>issue</w:t>
            </w:r>
            <w:r w:rsidRPr="006142C6">
              <w:rPr>
                <w:rFonts w:ascii="Arial" w:hAnsi="Arial" w:cs="Arial"/>
                <w:color w:val="010000"/>
                <w:sz w:val="20"/>
              </w:rPr>
              <w:t xml:space="preserve"> for dividend payment, expected to be completed in Q4/2024 or Q1/2025</w:t>
            </w:r>
          </w:p>
        </w:tc>
      </w:tr>
      <w:tr w:rsidR="00EC359E" w:rsidRPr="006142C6" w:rsidTr="006142C6">
        <w:tc>
          <w:tcPr>
            <w:tcW w:w="390" w:type="pct"/>
            <w:shd w:val="clear" w:color="auto" w:fill="auto"/>
            <w:vAlign w:val="center"/>
          </w:tcPr>
          <w:p w:rsidR="00EC359E" w:rsidRPr="006142C6" w:rsidRDefault="006142C6" w:rsidP="005D60B1">
            <w:pPr>
              <w:widowControl/>
              <w:spacing w:after="120" w:line="360" w:lineRule="auto"/>
              <w:jc w:val="both"/>
              <w:rPr>
                <w:rFonts w:ascii="Arial" w:eastAsia="Arial" w:hAnsi="Arial" w:cs="Arial"/>
                <w:color w:val="010000"/>
                <w:sz w:val="20"/>
                <w:szCs w:val="20"/>
              </w:rPr>
            </w:pPr>
            <w:r w:rsidRPr="006142C6">
              <w:rPr>
                <w:rFonts w:ascii="Arial" w:hAnsi="Arial" w:cs="Arial"/>
                <w:color w:val="010000"/>
                <w:sz w:val="20"/>
              </w:rPr>
              <w:t>12.</w:t>
            </w:r>
          </w:p>
        </w:tc>
        <w:tc>
          <w:tcPr>
            <w:tcW w:w="1417" w:type="pct"/>
            <w:shd w:val="clear" w:color="auto" w:fill="auto"/>
            <w:vAlign w:val="center"/>
          </w:tcPr>
          <w:p w:rsidR="00EC359E" w:rsidRPr="006142C6" w:rsidRDefault="006142C6" w:rsidP="005D60B1">
            <w:pPr>
              <w:pBdr>
                <w:top w:val="nil"/>
                <w:left w:val="nil"/>
                <w:bottom w:val="nil"/>
                <w:right w:val="nil"/>
                <w:between w:val="nil"/>
              </w:pBdr>
              <w:spacing w:after="120" w:line="360" w:lineRule="auto"/>
              <w:jc w:val="both"/>
              <w:rPr>
                <w:rFonts w:ascii="Arial" w:eastAsia="Arial" w:hAnsi="Arial" w:cs="Arial"/>
                <w:color w:val="010000"/>
                <w:sz w:val="20"/>
                <w:szCs w:val="20"/>
              </w:rPr>
            </w:pPr>
            <w:r w:rsidRPr="006142C6">
              <w:rPr>
                <w:rFonts w:ascii="Arial" w:hAnsi="Arial" w:cs="Arial"/>
                <w:color w:val="010000"/>
                <w:sz w:val="20"/>
              </w:rPr>
              <w:t>Eligible buyer</w:t>
            </w:r>
          </w:p>
        </w:tc>
        <w:tc>
          <w:tcPr>
            <w:tcW w:w="3193" w:type="pct"/>
            <w:shd w:val="clear" w:color="auto" w:fill="auto"/>
            <w:vAlign w:val="center"/>
          </w:tcPr>
          <w:p w:rsidR="00EC359E" w:rsidRPr="006142C6" w:rsidRDefault="006142C6" w:rsidP="005D60B1">
            <w:pPr>
              <w:pBdr>
                <w:top w:val="nil"/>
                <w:left w:val="nil"/>
                <w:bottom w:val="nil"/>
                <w:right w:val="nil"/>
                <w:between w:val="nil"/>
              </w:pBdr>
              <w:spacing w:after="120" w:line="360" w:lineRule="auto"/>
              <w:jc w:val="both"/>
              <w:rPr>
                <w:rFonts w:ascii="Arial" w:eastAsia="Arial" w:hAnsi="Arial" w:cs="Arial"/>
                <w:color w:val="010000"/>
                <w:sz w:val="20"/>
                <w:szCs w:val="20"/>
              </w:rPr>
            </w:pPr>
            <w:r w:rsidRPr="006142C6">
              <w:rPr>
                <w:rFonts w:ascii="Arial" w:hAnsi="Arial" w:cs="Arial"/>
                <w:color w:val="010000"/>
                <w:sz w:val="20"/>
              </w:rPr>
              <w:t>: Existing shareholders according to the list of shareholders recorded by Vietnam Securities Depository and Clearing Corporation (VSDC) at the record date to receive dividends by shares</w:t>
            </w:r>
          </w:p>
        </w:tc>
      </w:tr>
      <w:tr w:rsidR="00EC359E" w:rsidRPr="006142C6" w:rsidTr="006142C6">
        <w:tc>
          <w:tcPr>
            <w:tcW w:w="390" w:type="pct"/>
            <w:shd w:val="clear" w:color="auto" w:fill="auto"/>
            <w:vAlign w:val="center"/>
          </w:tcPr>
          <w:p w:rsidR="00EC359E" w:rsidRPr="006142C6" w:rsidRDefault="006142C6" w:rsidP="005D60B1">
            <w:pPr>
              <w:widowControl/>
              <w:spacing w:after="120" w:line="360" w:lineRule="auto"/>
              <w:jc w:val="both"/>
              <w:rPr>
                <w:rFonts w:ascii="Arial" w:eastAsia="Arial" w:hAnsi="Arial" w:cs="Arial"/>
                <w:color w:val="010000"/>
                <w:sz w:val="20"/>
                <w:szCs w:val="20"/>
              </w:rPr>
            </w:pPr>
            <w:r w:rsidRPr="006142C6">
              <w:rPr>
                <w:rFonts w:ascii="Arial" w:hAnsi="Arial" w:cs="Arial"/>
                <w:color w:val="010000"/>
                <w:sz w:val="20"/>
              </w:rPr>
              <w:t>13.</w:t>
            </w:r>
          </w:p>
        </w:tc>
        <w:tc>
          <w:tcPr>
            <w:tcW w:w="1417" w:type="pct"/>
            <w:shd w:val="clear" w:color="auto" w:fill="auto"/>
            <w:vAlign w:val="center"/>
          </w:tcPr>
          <w:p w:rsidR="00EC359E" w:rsidRPr="006142C6" w:rsidRDefault="006142C6" w:rsidP="005D60B1">
            <w:pPr>
              <w:pBdr>
                <w:top w:val="nil"/>
                <w:left w:val="nil"/>
                <w:bottom w:val="nil"/>
                <w:right w:val="nil"/>
                <w:between w:val="nil"/>
              </w:pBdr>
              <w:spacing w:after="120" w:line="360" w:lineRule="auto"/>
              <w:jc w:val="both"/>
              <w:rPr>
                <w:rFonts w:ascii="Arial" w:eastAsia="Arial" w:hAnsi="Arial" w:cs="Arial"/>
                <w:color w:val="010000"/>
                <w:sz w:val="20"/>
                <w:szCs w:val="20"/>
              </w:rPr>
            </w:pPr>
            <w:r w:rsidRPr="006142C6">
              <w:rPr>
                <w:rFonts w:ascii="Arial" w:hAnsi="Arial" w:cs="Arial"/>
                <w:color w:val="010000"/>
                <w:sz w:val="20"/>
              </w:rPr>
              <w:t>Plan on handling fractional shares</w:t>
            </w:r>
          </w:p>
        </w:tc>
        <w:tc>
          <w:tcPr>
            <w:tcW w:w="3193" w:type="pct"/>
            <w:shd w:val="clear" w:color="auto" w:fill="auto"/>
            <w:vAlign w:val="center"/>
          </w:tcPr>
          <w:p w:rsidR="00EC359E" w:rsidRPr="006142C6" w:rsidRDefault="006142C6" w:rsidP="005D60B1">
            <w:pPr>
              <w:pBdr>
                <w:top w:val="nil"/>
                <w:left w:val="nil"/>
                <w:bottom w:val="nil"/>
                <w:right w:val="nil"/>
                <w:between w:val="nil"/>
              </w:pBdr>
              <w:spacing w:after="120" w:line="360" w:lineRule="auto"/>
              <w:jc w:val="both"/>
              <w:rPr>
                <w:rFonts w:ascii="Arial" w:eastAsia="Arial" w:hAnsi="Arial" w:cs="Arial"/>
                <w:color w:val="010000"/>
                <w:sz w:val="20"/>
                <w:szCs w:val="20"/>
              </w:rPr>
            </w:pPr>
            <w:r w:rsidRPr="006142C6">
              <w:rPr>
                <w:rFonts w:ascii="Arial" w:hAnsi="Arial" w:cs="Arial"/>
                <w:color w:val="010000"/>
                <w:sz w:val="20"/>
              </w:rPr>
              <w:t>: The number of shares for each shareholder will be rounded to the nearest unit; the fractional</w:t>
            </w:r>
            <w:r w:rsidR="005D60B1">
              <w:rPr>
                <w:rFonts w:ascii="Arial" w:hAnsi="Arial" w:cs="Arial"/>
                <w:color w:val="010000"/>
                <w:sz w:val="20"/>
              </w:rPr>
              <w:t xml:space="preserve"> shares (if any) will be disposed of</w:t>
            </w:r>
            <w:r w:rsidRPr="006142C6">
              <w:rPr>
                <w:rFonts w:ascii="Arial" w:hAnsi="Arial" w:cs="Arial"/>
                <w:color w:val="010000"/>
                <w:sz w:val="20"/>
              </w:rPr>
              <w:t>.</w:t>
            </w:r>
          </w:p>
          <w:p w:rsidR="00EC359E" w:rsidRPr="006142C6" w:rsidRDefault="006142C6" w:rsidP="005D60B1">
            <w:pPr>
              <w:pBdr>
                <w:top w:val="nil"/>
                <w:left w:val="nil"/>
                <w:bottom w:val="nil"/>
                <w:right w:val="nil"/>
                <w:between w:val="nil"/>
              </w:pBdr>
              <w:spacing w:after="120" w:line="360" w:lineRule="auto"/>
              <w:jc w:val="both"/>
              <w:rPr>
                <w:rFonts w:ascii="Arial" w:eastAsia="Arial" w:hAnsi="Arial" w:cs="Arial"/>
                <w:color w:val="010000"/>
                <w:sz w:val="20"/>
                <w:szCs w:val="20"/>
              </w:rPr>
            </w:pPr>
            <w:r w:rsidRPr="006142C6">
              <w:rPr>
                <w:rFonts w:ascii="Arial" w:hAnsi="Arial" w:cs="Arial"/>
                <w:color w:val="010000"/>
                <w:sz w:val="20"/>
              </w:rPr>
              <w:lastRenderedPageBreak/>
              <w:t>For example: On the record date of the list of shareholders to exercise rights, shareholder A owns 101 shares, and the number of shares for dividend payment to be received is provisionally calculated as 101 X 20% = 20.2 new shares. Thus, according to the plan on handling fractional shares, shareholder A receives 20 shares, the fractional 0.2 will be canceled.</w:t>
            </w:r>
          </w:p>
        </w:tc>
      </w:tr>
      <w:tr w:rsidR="00EC359E" w:rsidRPr="006142C6" w:rsidTr="006142C6">
        <w:tc>
          <w:tcPr>
            <w:tcW w:w="390" w:type="pct"/>
            <w:shd w:val="clear" w:color="auto" w:fill="auto"/>
            <w:vAlign w:val="center"/>
          </w:tcPr>
          <w:p w:rsidR="00EC359E" w:rsidRPr="006142C6" w:rsidRDefault="006142C6" w:rsidP="005D60B1">
            <w:pPr>
              <w:widowControl/>
              <w:spacing w:after="120" w:line="360" w:lineRule="auto"/>
              <w:jc w:val="both"/>
              <w:rPr>
                <w:rFonts w:ascii="Arial" w:eastAsia="Arial" w:hAnsi="Arial" w:cs="Arial"/>
                <w:color w:val="010000"/>
                <w:sz w:val="20"/>
                <w:szCs w:val="20"/>
              </w:rPr>
            </w:pPr>
            <w:r w:rsidRPr="006142C6">
              <w:rPr>
                <w:rFonts w:ascii="Arial" w:hAnsi="Arial" w:cs="Arial"/>
                <w:color w:val="010000"/>
                <w:sz w:val="20"/>
              </w:rPr>
              <w:lastRenderedPageBreak/>
              <w:t>14.</w:t>
            </w:r>
          </w:p>
        </w:tc>
        <w:tc>
          <w:tcPr>
            <w:tcW w:w="1417" w:type="pct"/>
            <w:shd w:val="clear" w:color="auto" w:fill="auto"/>
            <w:vAlign w:val="center"/>
          </w:tcPr>
          <w:p w:rsidR="00EC359E" w:rsidRPr="006142C6" w:rsidRDefault="006142C6" w:rsidP="005D60B1">
            <w:pPr>
              <w:pBdr>
                <w:top w:val="nil"/>
                <w:left w:val="nil"/>
                <w:bottom w:val="nil"/>
                <w:right w:val="nil"/>
                <w:between w:val="nil"/>
              </w:pBdr>
              <w:spacing w:after="120" w:line="360" w:lineRule="auto"/>
              <w:jc w:val="both"/>
              <w:rPr>
                <w:rFonts w:ascii="Arial" w:eastAsia="Arial" w:hAnsi="Arial" w:cs="Arial"/>
                <w:color w:val="010000"/>
                <w:sz w:val="20"/>
                <w:szCs w:val="20"/>
              </w:rPr>
            </w:pPr>
            <w:r w:rsidRPr="006142C6">
              <w:rPr>
                <w:rFonts w:ascii="Arial" w:hAnsi="Arial" w:cs="Arial"/>
                <w:color w:val="010000"/>
                <w:sz w:val="20"/>
              </w:rPr>
              <w:t>Implementation location</w:t>
            </w:r>
          </w:p>
        </w:tc>
        <w:tc>
          <w:tcPr>
            <w:tcW w:w="3193" w:type="pct"/>
            <w:shd w:val="clear" w:color="auto" w:fill="auto"/>
            <w:vAlign w:val="center"/>
          </w:tcPr>
          <w:p w:rsidR="00EC359E" w:rsidRPr="006142C6" w:rsidRDefault="006142C6" w:rsidP="005D60B1">
            <w:pPr>
              <w:pBdr>
                <w:top w:val="nil"/>
                <w:left w:val="nil"/>
                <w:bottom w:val="nil"/>
                <w:right w:val="nil"/>
                <w:between w:val="nil"/>
              </w:pBdr>
              <w:spacing w:after="120" w:line="360" w:lineRule="auto"/>
              <w:jc w:val="both"/>
              <w:rPr>
                <w:rFonts w:ascii="Arial" w:eastAsia="Arial" w:hAnsi="Arial" w:cs="Arial"/>
                <w:color w:val="010000"/>
                <w:sz w:val="20"/>
                <w:szCs w:val="20"/>
              </w:rPr>
            </w:pPr>
            <w:r w:rsidRPr="006142C6">
              <w:rPr>
                <w:rFonts w:ascii="Arial" w:hAnsi="Arial" w:cs="Arial"/>
                <w:color w:val="010000"/>
                <w:sz w:val="20"/>
              </w:rPr>
              <w:t>: For deposited securities: Owners implement procedures to receive dividends at Depository Members where depository accounts were opened.</w:t>
            </w:r>
          </w:p>
          <w:p w:rsidR="00EC359E" w:rsidRPr="006142C6" w:rsidRDefault="006142C6" w:rsidP="005D60B1">
            <w:pPr>
              <w:pBdr>
                <w:top w:val="nil"/>
                <w:left w:val="nil"/>
                <w:bottom w:val="nil"/>
                <w:right w:val="nil"/>
                <w:between w:val="nil"/>
              </w:pBdr>
              <w:spacing w:after="120" w:line="360" w:lineRule="auto"/>
              <w:jc w:val="both"/>
              <w:rPr>
                <w:rFonts w:ascii="Arial" w:eastAsia="Arial" w:hAnsi="Arial" w:cs="Arial"/>
                <w:color w:val="010000"/>
                <w:sz w:val="20"/>
                <w:szCs w:val="20"/>
              </w:rPr>
            </w:pPr>
            <w:r w:rsidRPr="006142C6">
              <w:rPr>
                <w:rFonts w:ascii="Arial" w:hAnsi="Arial" w:cs="Arial"/>
                <w:color w:val="010000"/>
                <w:sz w:val="20"/>
              </w:rPr>
              <w:t xml:space="preserve">For </w:t>
            </w:r>
            <w:proofErr w:type="spellStart"/>
            <w:r w:rsidRPr="006142C6">
              <w:rPr>
                <w:rFonts w:ascii="Arial" w:hAnsi="Arial" w:cs="Arial"/>
                <w:color w:val="010000"/>
                <w:sz w:val="20"/>
              </w:rPr>
              <w:t>undeposited</w:t>
            </w:r>
            <w:proofErr w:type="spellEnd"/>
            <w:r w:rsidRPr="006142C6">
              <w:rPr>
                <w:rFonts w:ascii="Arial" w:hAnsi="Arial" w:cs="Arial"/>
                <w:color w:val="010000"/>
                <w:sz w:val="20"/>
              </w:rPr>
              <w:t xml:space="preserve"> securities: Owners implement procedures to receive dividends at Ton Dong A Corporation</w:t>
            </w:r>
          </w:p>
        </w:tc>
      </w:tr>
      <w:tr w:rsidR="00EC359E" w:rsidRPr="006142C6" w:rsidTr="006142C6">
        <w:tc>
          <w:tcPr>
            <w:tcW w:w="390" w:type="pct"/>
            <w:shd w:val="clear" w:color="auto" w:fill="auto"/>
            <w:vAlign w:val="center"/>
          </w:tcPr>
          <w:p w:rsidR="00EC359E" w:rsidRPr="006142C6" w:rsidRDefault="006142C6" w:rsidP="005D60B1">
            <w:pPr>
              <w:widowControl/>
              <w:spacing w:after="120" w:line="360" w:lineRule="auto"/>
              <w:jc w:val="both"/>
              <w:rPr>
                <w:rFonts w:ascii="Arial" w:eastAsia="Arial" w:hAnsi="Arial" w:cs="Arial"/>
                <w:color w:val="010000"/>
                <w:sz w:val="20"/>
                <w:szCs w:val="20"/>
              </w:rPr>
            </w:pPr>
            <w:r w:rsidRPr="006142C6">
              <w:rPr>
                <w:rFonts w:ascii="Arial" w:hAnsi="Arial" w:cs="Arial"/>
                <w:color w:val="010000"/>
                <w:sz w:val="20"/>
              </w:rPr>
              <w:t>15.</w:t>
            </w:r>
          </w:p>
        </w:tc>
        <w:tc>
          <w:tcPr>
            <w:tcW w:w="1417" w:type="pct"/>
            <w:shd w:val="clear" w:color="auto" w:fill="auto"/>
            <w:vAlign w:val="center"/>
          </w:tcPr>
          <w:p w:rsidR="00EC359E" w:rsidRPr="006142C6" w:rsidRDefault="006142C6" w:rsidP="005D60B1">
            <w:pPr>
              <w:pBdr>
                <w:top w:val="nil"/>
                <w:left w:val="nil"/>
                <w:bottom w:val="nil"/>
                <w:right w:val="nil"/>
                <w:between w:val="nil"/>
              </w:pBdr>
              <w:spacing w:after="120" w:line="360" w:lineRule="auto"/>
              <w:jc w:val="both"/>
              <w:rPr>
                <w:rFonts w:ascii="Arial" w:eastAsia="Arial" w:hAnsi="Arial" w:cs="Arial"/>
                <w:color w:val="010000"/>
                <w:sz w:val="20"/>
                <w:szCs w:val="20"/>
              </w:rPr>
            </w:pPr>
            <w:r w:rsidRPr="006142C6">
              <w:rPr>
                <w:rFonts w:ascii="Arial" w:hAnsi="Arial" w:cs="Arial"/>
                <w:color w:val="010000"/>
                <w:sz w:val="20"/>
              </w:rPr>
              <w:t>Depository and listing or registration for trading according to regulations</w:t>
            </w:r>
          </w:p>
        </w:tc>
        <w:tc>
          <w:tcPr>
            <w:tcW w:w="3193" w:type="pct"/>
            <w:shd w:val="clear" w:color="auto" w:fill="auto"/>
            <w:vAlign w:val="center"/>
          </w:tcPr>
          <w:p w:rsidR="00EC359E" w:rsidRPr="006142C6" w:rsidRDefault="006142C6" w:rsidP="005D60B1">
            <w:pPr>
              <w:pBdr>
                <w:top w:val="nil"/>
                <w:left w:val="nil"/>
                <w:bottom w:val="nil"/>
                <w:right w:val="nil"/>
                <w:between w:val="nil"/>
              </w:pBdr>
              <w:spacing w:after="120" w:line="360" w:lineRule="auto"/>
              <w:jc w:val="both"/>
              <w:rPr>
                <w:rFonts w:ascii="Arial" w:eastAsia="Arial" w:hAnsi="Arial" w:cs="Arial"/>
                <w:color w:val="010000"/>
                <w:sz w:val="20"/>
                <w:szCs w:val="20"/>
              </w:rPr>
            </w:pPr>
            <w:r w:rsidRPr="006142C6">
              <w:rPr>
                <w:rFonts w:ascii="Arial" w:hAnsi="Arial" w:cs="Arial"/>
                <w:color w:val="010000"/>
                <w:sz w:val="20"/>
              </w:rPr>
              <w:t>: The Company shall complete procedures to register for depository and additional listing of additional shares to be issued to pay dividends by shares after implementation.</w:t>
            </w:r>
          </w:p>
        </w:tc>
      </w:tr>
    </w:tbl>
    <w:p w:rsidR="00EC359E" w:rsidRPr="006142C6" w:rsidRDefault="006142C6" w:rsidP="005D60B1">
      <w:pPr>
        <w:pBdr>
          <w:top w:val="nil"/>
          <w:left w:val="nil"/>
          <w:bottom w:val="nil"/>
          <w:right w:val="nil"/>
          <w:between w:val="nil"/>
        </w:pBdr>
        <w:spacing w:after="120" w:line="360" w:lineRule="auto"/>
        <w:jc w:val="both"/>
        <w:rPr>
          <w:rFonts w:ascii="Arial" w:eastAsia="Arial" w:hAnsi="Arial" w:cs="Arial"/>
          <w:color w:val="010000"/>
          <w:sz w:val="20"/>
          <w:szCs w:val="20"/>
        </w:rPr>
      </w:pPr>
      <w:bookmarkStart w:id="0" w:name="_heading=h.gjdgxs"/>
      <w:bookmarkEnd w:id="0"/>
      <w:r w:rsidRPr="006142C6">
        <w:rPr>
          <w:rFonts w:ascii="Arial" w:hAnsi="Arial" w:cs="Arial"/>
          <w:color w:val="010000"/>
          <w:sz w:val="20"/>
        </w:rPr>
        <w:t xml:space="preserve">Article 2: Authorize the legal representative of the Company (the Chair of the Board of Directors and/or </w:t>
      </w:r>
      <w:r w:rsidR="005D60B1">
        <w:rPr>
          <w:rFonts w:ascii="Arial" w:hAnsi="Arial" w:cs="Arial"/>
          <w:color w:val="010000"/>
          <w:sz w:val="20"/>
        </w:rPr>
        <w:t>Managing Director</w:t>
      </w:r>
      <w:r w:rsidRPr="006142C6">
        <w:rPr>
          <w:rFonts w:ascii="Arial" w:hAnsi="Arial" w:cs="Arial"/>
          <w:color w:val="010000"/>
          <w:sz w:val="20"/>
        </w:rPr>
        <w:t xml:space="preserve">): to organize the implementation of necessary procedures to complete the share </w:t>
      </w:r>
      <w:r w:rsidR="005D60B1">
        <w:rPr>
          <w:rFonts w:ascii="Arial" w:hAnsi="Arial" w:cs="Arial"/>
          <w:color w:val="010000"/>
          <w:sz w:val="20"/>
        </w:rPr>
        <w:t>issue</w:t>
      </w:r>
      <w:r w:rsidRPr="006142C6">
        <w:rPr>
          <w:rFonts w:ascii="Arial" w:hAnsi="Arial" w:cs="Arial"/>
          <w:color w:val="010000"/>
          <w:sz w:val="20"/>
        </w:rPr>
        <w:t xml:space="preserve"> for dividend payment, including supplementing and amending the plan as required by competent state agencies, implementing procedures to change business registration and amending and supplementing the Company's Charter to record the charter capital and new shares according to the actual results of the share </w:t>
      </w:r>
      <w:r w:rsidR="005D60B1">
        <w:rPr>
          <w:rFonts w:ascii="Arial" w:hAnsi="Arial" w:cs="Arial"/>
          <w:color w:val="010000"/>
          <w:sz w:val="20"/>
        </w:rPr>
        <w:t>issue</w:t>
      </w:r>
      <w:r w:rsidRPr="006142C6">
        <w:rPr>
          <w:rFonts w:ascii="Arial" w:hAnsi="Arial" w:cs="Arial"/>
          <w:color w:val="010000"/>
          <w:sz w:val="20"/>
        </w:rPr>
        <w:t xml:space="preserve"> for dividend payment and registering for depository and additional listing of the additional issued shares.</w:t>
      </w:r>
    </w:p>
    <w:p w:rsidR="00EC359E" w:rsidRPr="006142C6" w:rsidRDefault="005D60B1" w:rsidP="005D60B1">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s="Arial"/>
          <w:color w:val="010000"/>
          <w:sz w:val="20"/>
        </w:rPr>
        <w:t>Article 3: The L</w:t>
      </w:r>
      <w:r w:rsidR="006142C6" w:rsidRPr="006142C6">
        <w:rPr>
          <w:rFonts w:ascii="Arial" w:hAnsi="Arial" w:cs="Arial"/>
          <w:color w:val="010000"/>
          <w:sz w:val="20"/>
        </w:rPr>
        <w:t>egal representative of the Company, mem</w:t>
      </w:r>
      <w:r>
        <w:rPr>
          <w:rFonts w:ascii="Arial" w:hAnsi="Arial" w:cs="Arial"/>
          <w:color w:val="010000"/>
          <w:sz w:val="20"/>
        </w:rPr>
        <w:t xml:space="preserve">bers of the Board of Directors and Executive Board </w:t>
      </w:r>
      <w:r w:rsidR="006142C6" w:rsidRPr="006142C6">
        <w:rPr>
          <w:rFonts w:ascii="Arial" w:hAnsi="Arial" w:cs="Arial"/>
          <w:color w:val="010000"/>
          <w:sz w:val="20"/>
        </w:rPr>
        <w:t>and relevant individuals, departments and units are responsible for implementing this Resolution.</w:t>
      </w:r>
    </w:p>
    <w:p w:rsidR="00EC359E" w:rsidRPr="006142C6" w:rsidRDefault="006142C6" w:rsidP="005D60B1">
      <w:pPr>
        <w:pBdr>
          <w:top w:val="nil"/>
          <w:left w:val="nil"/>
          <w:bottom w:val="nil"/>
          <w:right w:val="nil"/>
          <w:between w:val="nil"/>
        </w:pBdr>
        <w:spacing w:after="120" w:line="360" w:lineRule="auto"/>
        <w:jc w:val="both"/>
        <w:rPr>
          <w:rFonts w:ascii="Arial" w:eastAsia="Arial" w:hAnsi="Arial" w:cs="Arial"/>
          <w:color w:val="010000"/>
          <w:sz w:val="20"/>
          <w:szCs w:val="20"/>
        </w:rPr>
      </w:pPr>
      <w:r w:rsidRPr="006142C6">
        <w:rPr>
          <w:rFonts w:ascii="Arial" w:hAnsi="Arial" w:cs="Arial"/>
          <w:color w:val="010000"/>
          <w:sz w:val="20"/>
        </w:rPr>
        <w:t xml:space="preserve">This </w:t>
      </w:r>
      <w:r w:rsidR="005D60B1">
        <w:rPr>
          <w:rFonts w:ascii="Arial" w:hAnsi="Arial" w:cs="Arial"/>
          <w:color w:val="010000"/>
          <w:sz w:val="20"/>
        </w:rPr>
        <w:t xml:space="preserve">Board </w:t>
      </w:r>
      <w:bookmarkStart w:id="1" w:name="_GoBack"/>
      <w:bookmarkEnd w:id="1"/>
      <w:r w:rsidRPr="006142C6">
        <w:rPr>
          <w:rFonts w:ascii="Arial" w:hAnsi="Arial" w:cs="Arial"/>
          <w:color w:val="010000"/>
          <w:sz w:val="20"/>
        </w:rPr>
        <w:t>Resolution takes effect from the date of its signing.</w:t>
      </w:r>
    </w:p>
    <w:sectPr w:rsidR="00EC359E" w:rsidRPr="006142C6" w:rsidSect="006142C6">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9E"/>
    <w:rsid w:val="005D60B1"/>
    <w:rsid w:val="006142C6"/>
    <w:rsid w:val="00EC3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70539"/>
  <w15:docId w15:val="{9FDE2982-98E8-4047-8EEA-BAB3F6C9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val="0"/>
      <w:strike w:val="0"/>
      <w:sz w:val="22"/>
      <w:szCs w:val="22"/>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iCs/>
      <w:smallCaps w:val="0"/>
      <w:strike w:val="0"/>
      <w:sz w:val="28"/>
      <w:szCs w:val="28"/>
      <w:u w:val="none"/>
      <w:shd w:val="clear" w:color="auto" w:fill="auto"/>
    </w:rPr>
  </w:style>
  <w:style w:type="character" w:customStyle="1" w:styleId="Tablecaption">
    <w:name w:val="Table caption_"/>
    <w:basedOn w:val="DefaultParagraphFont"/>
    <w:link w:val="Tablecaption0"/>
    <w:rPr>
      <w:rFonts w:ascii="Arial" w:eastAsia="Arial" w:hAnsi="Arial" w:cs="Arial"/>
      <w:b w:val="0"/>
      <w:bCs w:val="0"/>
      <w:i w:val="0"/>
      <w:iCs w:val="0"/>
      <w:smallCaps w:val="0"/>
      <w:strike w:val="0"/>
      <w:color w:val="D4345C"/>
      <w:sz w:val="19"/>
      <w:szCs w:val="19"/>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D4345C"/>
      <w:sz w:val="19"/>
      <w:szCs w:val="19"/>
      <w:u w:val="none"/>
      <w:shd w:val="clear" w:color="auto" w:fill="auto"/>
    </w:rPr>
  </w:style>
  <w:style w:type="paragraph" w:styleId="BodyText">
    <w:name w:val="Body Text"/>
    <w:basedOn w:val="Normal"/>
    <w:link w:val="BodyTextChar"/>
    <w:qFormat/>
    <w:pPr>
      <w:spacing w:line="386" w:lineRule="auto"/>
    </w:pPr>
    <w:rPr>
      <w:rFonts w:ascii="Times New Roman" w:eastAsia="Times New Roman" w:hAnsi="Times New Roman" w:cs="Times New Roman"/>
    </w:rPr>
  </w:style>
  <w:style w:type="paragraph" w:customStyle="1" w:styleId="Bodytext50">
    <w:name w:val="Body text (5)"/>
    <w:basedOn w:val="Normal"/>
    <w:link w:val="Bodytext5"/>
    <w:pPr>
      <w:ind w:firstLine="840"/>
    </w:pPr>
    <w:rPr>
      <w:rFonts w:ascii="Arial" w:eastAsia="Arial" w:hAnsi="Arial" w:cs="Arial"/>
      <w:sz w:val="22"/>
      <w:szCs w:val="22"/>
    </w:rPr>
  </w:style>
  <w:style w:type="paragraph" w:customStyle="1" w:styleId="Heading11">
    <w:name w:val="Heading #1"/>
    <w:basedOn w:val="Normal"/>
    <w:link w:val="Heading10"/>
    <w:pPr>
      <w:spacing w:line="286" w:lineRule="auto"/>
      <w:outlineLvl w:val="0"/>
    </w:pPr>
    <w:rPr>
      <w:rFonts w:ascii="Times New Roman" w:eastAsia="Times New Roman" w:hAnsi="Times New Roman" w:cs="Times New Roman"/>
      <w:b/>
      <w:bCs/>
      <w:sz w:val="32"/>
      <w:szCs w:val="32"/>
    </w:rPr>
  </w:style>
  <w:style w:type="paragraph" w:customStyle="1" w:styleId="Bodytext30">
    <w:name w:val="Body text (3)"/>
    <w:basedOn w:val="Normal"/>
    <w:link w:val="Bodytext3"/>
    <w:pPr>
      <w:spacing w:line="266" w:lineRule="auto"/>
      <w:ind w:left="1720" w:firstLine="420"/>
    </w:pPr>
    <w:rPr>
      <w:rFonts w:ascii="Times New Roman" w:eastAsia="Times New Roman" w:hAnsi="Times New Roman" w:cs="Times New Roman"/>
      <w:b/>
      <w:bCs/>
      <w:i/>
      <w:iCs/>
      <w:sz w:val="28"/>
      <w:szCs w:val="28"/>
    </w:rPr>
  </w:style>
  <w:style w:type="paragraph" w:customStyle="1" w:styleId="Tablecaption0">
    <w:name w:val="Table caption"/>
    <w:basedOn w:val="Normal"/>
    <w:link w:val="Tablecaption"/>
    <w:rPr>
      <w:rFonts w:ascii="Arial" w:eastAsia="Arial" w:hAnsi="Arial" w:cs="Arial"/>
      <w:color w:val="D4345C"/>
      <w:sz w:val="19"/>
      <w:szCs w:val="19"/>
    </w:rPr>
  </w:style>
  <w:style w:type="paragraph" w:customStyle="1" w:styleId="Other0">
    <w:name w:val="Other"/>
    <w:basedOn w:val="Normal"/>
    <w:link w:val="Other"/>
    <w:pPr>
      <w:spacing w:line="312" w:lineRule="auto"/>
    </w:pPr>
    <w:rPr>
      <w:rFonts w:ascii="Times New Roman" w:eastAsia="Times New Roman" w:hAnsi="Times New Roman" w:cs="Times New Roman"/>
    </w:rPr>
  </w:style>
  <w:style w:type="paragraph" w:customStyle="1" w:styleId="Bodytext20">
    <w:name w:val="Body text (2)"/>
    <w:basedOn w:val="Normal"/>
    <w:link w:val="Bodytext2"/>
    <w:pPr>
      <w:ind w:firstLine="360"/>
    </w:pPr>
    <w:rPr>
      <w:rFonts w:ascii="Times New Roman" w:eastAsia="Times New Roman" w:hAnsi="Times New Roman" w:cs="Times New Roman"/>
      <w:i/>
      <w:iCs/>
      <w:sz w:val="20"/>
      <w:szCs w:val="20"/>
    </w:rPr>
  </w:style>
  <w:style w:type="paragraph" w:customStyle="1" w:styleId="Bodytext40">
    <w:name w:val="Body text (4)"/>
    <w:basedOn w:val="Normal"/>
    <w:link w:val="Bodytext4"/>
    <w:rPr>
      <w:rFonts w:ascii="Arial" w:eastAsia="Arial" w:hAnsi="Arial" w:cs="Arial"/>
      <w:color w:val="D4345C"/>
      <w:sz w:val="19"/>
      <w:szCs w:val="19"/>
    </w:rPr>
  </w:style>
  <w:style w:type="table" w:styleId="TableGrid">
    <w:name w:val="Table Grid"/>
    <w:basedOn w:val="TableNormal"/>
    <w:uiPriority w:val="39"/>
    <w:rsid w:val="00CB3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k3jUQKK/Osaqi7s28TmaYZB5FQ==">CgMxLjAyCGguZ2pkZ3hzOAByITEycXlJTENNX2lVemFRZWxHdWFaM0liUVJ0ZFNKRWl2cA==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2024-09-24T02:19:00Z</dcterms:created>
  <dcterms:modified xsi:type="dcterms:W3CDTF">2024-09-24T02:19:00Z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075dd72f69abf049535fcb17b4251cb87de5b85b9f060af3b375c85a65122b94</vt:lpwstr>
  </property>
</Properties>
</file>