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2E" w:rsidRPr="00F55E7C" w:rsidRDefault="00F55E7C" w:rsidP="006C3527">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F55E7C">
        <w:rPr>
          <w:rFonts w:ascii="Arial" w:hAnsi="Arial" w:cs="Arial"/>
          <w:b/>
          <w:color w:val="010000"/>
          <w:sz w:val="20"/>
        </w:rPr>
        <w:t>HAV: Annual General Mandate 2024</w:t>
      </w:r>
    </w:p>
    <w:p w:rsidR="00C2372E" w:rsidRPr="00F55E7C" w:rsidRDefault="00F55E7C" w:rsidP="006C3527">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On September 20, 2024, </w:t>
      </w:r>
      <w:proofErr w:type="spellStart"/>
      <w:r w:rsidRPr="00F55E7C">
        <w:rPr>
          <w:rFonts w:ascii="Arial" w:hAnsi="Arial" w:cs="Arial"/>
          <w:color w:val="010000"/>
          <w:sz w:val="20"/>
        </w:rPr>
        <w:t>Hapro</w:t>
      </w:r>
      <w:proofErr w:type="spellEnd"/>
      <w:r w:rsidRPr="00F55E7C">
        <w:rPr>
          <w:rFonts w:ascii="Arial" w:hAnsi="Arial" w:cs="Arial"/>
          <w:color w:val="010000"/>
          <w:sz w:val="20"/>
        </w:rPr>
        <w:t xml:space="preserve"> Vodka Joint Stock Company announced the </w:t>
      </w:r>
      <w:r w:rsidR="006C3527">
        <w:rPr>
          <w:rFonts w:ascii="Arial" w:hAnsi="Arial" w:cs="Arial"/>
          <w:color w:val="010000"/>
          <w:sz w:val="20"/>
        </w:rPr>
        <w:t xml:space="preserve">Annual </w:t>
      </w:r>
      <w:r w:rsidRPr="00F55E7C">
        <w:rPr>
          <w:rFonts w:ascii="Arial" w:hAnsi="Arial" w:cs="Arial"/>
          <w:color w:val="010000"/>
          <w:sz w:val="20"/>
        </w:rPr>
        <w:t>General Mandate as follows:</w:t>
      </w:r>
    </w:p>
    <w:p w:rsidR="00C2372E" w:rsidRPr="00F55E7C" w:rsidRDefault="00F55E7C" w:rsidP="006C352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Article 1. The </w:t>
      </w:r>
      <w:r w:rsidR="006C3527">
        <w:rPr>
          <w:rFonts w:ascii="Arial" w:hAnsi="Arial" w:cs="Arial"/>
          <w:color w:val="010000"/>
          <w:sz w:val="20"/>
        </w:rPr>
        <w:t>General Meeting</w:t>
      </w:r>
      <w:r w:rsidRPr="00F55E7C">
        <w:rPr>
          <w:rFonts w:ascii="Arial" w:hAnsi="Arial" w:cs="Arial"/>
          <w:color w:val="010000"/>
          <w:sz w:val="20"/>
        </w:rPr>
        <w:t xml:space="preserve"> of </w:t>
      </w:r>
      <w:proofErr w:type="spellStart"/>
      <w:r w:rsidRPr="00F55E7C">
        <w:rPr>
          <w:rFonts w:ascii="Arial" w:hAnsi="Arial" w:cs="Arial"/>
          <w:color w:val="010000"/>
          <w:sz w:val="20"/>
        </w:rPr>
        <w:t>Hapro</w:t>
      </w:r>
      <w:proofErr w:type="spellEnd"/>
      <w:r w:rsidRPr="00F55E7C">
        <w:rPr>
          <w:rFonts w:ascii="Arial" w:hAnsi="Arial" w:cs="Arial"/>
          <w:color w:val="010000"/>
          <w:sz w:val="20"/>
        </w:rPr>
        <w:t xml:space="preserve"> Vodka Joint Stock Company voted for approval of the following General Mandates:</w:t>
      </w:r>
    </w:p>
    <w:p w:rsidR="00C2372E" w:rsidRPr="00F55E7C" w:rsidRDefault="00F55E7C" w:rsidP="006C3527">
      <w:pPr>
        <w:numPr>
          <w:ilvl w:val="0"/>
          <w:numId w:val="5"/>
        </w:numPr>
        <w:pBdr>
          <w:top w:val="nil"/>
          <w:left w:val="nil"/>
          <w:bottom w:val="nil"/>
          <w:right w:val="nil"/>
          <w:between w:val="nil"/>
        </w:pBdr>
        <w:tabs>
          <w:tab w:val="left" w:pos="432"/>
          <w:tab w:val="left" w:pos="556"/>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General Mandate 01: Approve the Report of the Executive Board submitted to the </w:t>
      </w:r>
      <w:r w:rsidR="006C3527">
        <w:rPr>
          <w:rFonts w:ascii="Arial" w:hAnsi="Arial" w:cs="Arial"/>
          <w:color w:val="010000"/>
          <w:sz w:val="20"/>
        </w:rPr>
        <w:t>General Meeting</w:t>
      </w:r>
      <w:r w:rsidRPr="00F55E7C">
        <w:rPr>
          <w:rFonts w:ascii="Arial" w:hAnsi="Arial" w:cs="Arial"/>
          <w:color w:val="010000"/>
          <w:sz w:val="20"/>
        </w:rPr>
        <w:t xml:space="preserve"> the business results for the fiscal year 2023 and the orientation for the fiscal year 2024.</w:t>
      </w:r>
    </w:p>
    <w:p w:rsidR="00C2372E" w:rsidRPr="00F55E7C" w:rsidRDefault="00F55E7C" w:rsidP="006C352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Results of business activities in 2023:</w:t>
      </w:r>
    </w:p>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Unit: Billion VND</w:t>
      </w:r>
    </w:p>
    <w:tbl>
      <w:tblPr>
        <w:tblStyle w:val="a"/>
        <w:tblW w:w="5000" w:type="pct"/>
        <w:tblLook w:val="0000" w:firstRow="0" w:lastRow="0" w:firstColumn="0" w:lastColumn="0" w:noHBand="0" w:noVBand="0"/>
      </w:tblPr>
      <w:tblGrid>
        <w:gridCol w:w="3798"/>
        <w:gridCol w:w="1587"/>
        <w:gridCol w:w="1448"/>
        <w:gridCol w:w="2184"/>
      </w:tblGrid>
      <w:tr w:rsidR="00C2372E" w:rsidRPr="00F55E7C" w:rsidTr="00F55E7C">
        <w:tc>
          <w:tcPr>
            <w:tcW w:w="2106"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Targets</w:t>
            </w:r>
          </w:p>
        </w:tc>
        <w:tc>
          <w:tcPr>
            <w:tcW w:w="880"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Plan 2023</w:t>
            </w:r>
          </w:p>
        </w:tc>
        <w:tc>
          <w:tcPr>
            <w:tcW w:w="803"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Results 2023</w:t>
            </w:r>
          </w:p>
        </w:tc>
        <w:tc>
          <w:tcPr>
            <w:tcW w:w="12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Results 2023/Plan 2023</w:t>
            </w:r>
          </w:p>
        </w:tc>
      </w:tr>
      <w:tr w:rsidR="00C2372E" w:rsidRPr="00F55E7C" w:rsidTr="00F55E7C">
        <w:tc>
          <w:tcPr>
            <w:tcW w:w="2106"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Total revenue and other incomes</w:t>
            </w:r>
          </w:p>
        </w:tc>
        <w:tc>
          <w:tcPr>
            <w:tcW w:w="880"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1.130</w:t>
            </w:r>
          </w:p>
        </w:tc>
        <w:tc>
          <w:tcPr>
            <w:tcW w:w="803" w:type="pct"/>
            <w:tcBorders>
              <w:top w:val="single" w:sz="4" w:space="0" w:color="000000"/>
              <w:lef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2.846</w:t>
            </w:r>
          </w:p>
        </w:tc>
        <w:tc>
          <w:tcPr>
            <w:tcW w:w="12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251.85%</w:t>
            </w:r>
          </w:p>
        </w:tc>
      </w:tr>
      <w:tr w:rsidR="00C2372E" w:rsidRPr="00F55E7C" w:rsidTr="00F55E7C">
        <w:tc>
          <w:tcPr>
            <w:tcW w:w="21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Profit before tax</w:t>
            </w:r>
          </w:p>
        </w:tc>
        <w:tc>
          <w:tcPr>
            <w:tcW w:w="8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C2372E" w:rsidRPr="00F55E7C" w:rsidRDefault="00C2372E" w:rsidP="00F55E7C">
            <w:pPr>
              <w:tabs>
                <w:tab w:val="left" w:pos="432"/>
              </w:tabs>
              <w:spacing w:after="120" w:line="360" w:lineRule="auto"/>
              <w:rPr>
                <w:rFonts w:ascii="Arial" w:eastAsia="Arial" w:hAnsi="Arial" w:cs="Arial"/>
                <w:color w:val="010000"/>
                <w:sz w:val="20"/>
                <w:szCs w:val="20"/>
              </w:rPr>
            </w:pPr>
          </w:p>
        </w:tc>
        <w:tc>
          <w:tcPr>
            <w:tcW w:w="80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(0.108)</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 xml:space="preserve">Not completed </w:t>
            </w:r>
          </w:p>
        </w:tc>
      </w:tr>
    </w:tbl>
    <w:p w:rsidR="00C2372E" w:rsidRPr="00F55E7C" w:rsidRDefault="00F55E7C" w:rsidP="006C3527">
      <w:pPr>
        <w:numPr>
          <w:ilvl w:val="0"/>
          <w:numId w:val="5"/>
        </w:numPr>
        <w:pBdr>
          <w:top w:val="nil"/>
          <w:left w:val="nil"/>
          <w:bottom w:val="nil"/>
          <w:right w:val="nil"/>
          <w:between w:val="nil"/>
        </w:pBdr>
        <w:tabs>
          <w:tab w:val="left" w:pos="432"/>
          <w:tab w:val="left" w:pos="556"/>
        </w:tabs>
        <w:spacing w:after="120" w:line="360" w:lineRule="auto"/>
        <w:jc w:val="both"/>
        <w:rPr>
          <w:rFonts w:ascii="Arial" w:eastAsia="Arial" w:hAnsi="Arial" w:cs="Arial"/>
          <w:color w:val="010000"/>
          <w:sz w:val="20"/>
          <w:szCs w:val="20"/>
        </w:rPr>
      </w:pPr>
      <w:r w:rsidRPr="00F55E7C">
        <w:rPr>
          <w:rFonts w:ascii="Arial" w:hAnsi="Arial" w:cs="Arial"/>
          <w:color w:val="010000"/>
          <w:sz w:val="20"/>
        </w:rPr>
        <w:t>General Mandate 02: Approve the Report on the activities of the Board of Directors in the fiscal year 2023 and the orientation of the Board of Directors for the fiscal year 2024.</w:t>
      </w:r>
    </w:p>
    <w:p w:rsidR="00C2372E" w:rsidRPr="00F55E7C" w:rsidRDefault="00F55E7C" w:rsidP="006C3527">
      <w:pPr>
        <w:numPr>
          <w:ilvl w:val="0"/>
          <w:numId w:val="5"/>
        </w:numPr>
        <w:pBdr>
          <w:top w:val="nil"/>
          <w:left w:val="nil"/>
          <w:bottom w:val="nil"/>
          <w:right w:val="nil"/>
          <w:between w:val="nil"/>
        </w:pBdr>
        <w:tabs>
          <w:tab w:val="left" w:pos="432"/>
          <w:tab w:val="left" w:pos="556"/>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General Mandate 03: Approve the Report of the Supervisory Board submitted to the Annual </w:t>
      </w:r>
      <w:r w:rsidR="006C3527">
        <w:rPr>
          <w:rFonts w:ascii="Arial" w:hAnsi="Arial" w:cs="Arial"/>
          <w:color w:val="010000"/>
          <w:sz w:val="20"/>
        </w:rPr>
        <w:t>General Meeting</w:t>
      </w:r>
      <w:r w:rsidRPr="00F55E7C">
        <w:rPr>
          <w:rFonts w:ascii="Arial" w:hAnsi="Arial" w:cs="Arial"/>
          <w:color w:val="010000"/>
          <w:sz w:val="20"/>
        </w:rPr>
        <w:t xml:space="preserve"> 2024.</w:t>
      </w:r>
    </w:p>
    <w:p w:rsidR="00C2372E" w:rsidRPr="00F55E7C" w:rsidRDefault="00F55E7C" w:rsidP="006C3527">
      <w:pPr>
        <w:numPr>
          <w:ilvl w:val="0"/>
          <w:numId w:val="5"/>
        </w:numPr>
        <w:pBdr>
          <w:top w:val="nil"/>
          <w:left w:val="nil"/>
          <w:bottom w:val="nil"/>
          <w:right w:val="nil"/>
          <w:between w:val="nil"/>
        </w:pBdr>
        <w:tabs>
          <w:tab w:val="left" w:pos="432"/>
          <w:tab w:val="left" w:pos="556"/>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General Mandate 04: Approve the Audited Financial Statements for the fiscal year ending on March 31, 2024 by </w:t>
      </w:r>
      <w:proofErr w:type="spellStart"/>
      <w:r w:rsidRPr="00F55E7C">
        <w:rPr>
          <w:rFonts w:ascii="Arial" w:hAnsi="Arial" w:cs="Arial"/>
          <w:color w:val="010000"/>
          <w:sz w:val="20"/>
        </w:rPr>
        <w:t>Nhan</w:t>
      </w:r>
      <w:proofErr w:type="spellEnd"/>
      <w:r w:rsidRPr="00F55E7C">
        <w:rPr>
          <w:rFonts w:ascii="Arial" w:hAnsi="Arial" w:cs="Arial"/>
          <w:color w:val="010000"/>
          <w:sz w:val="20"/>
        </w:rPr>
        <w:t xml:space="preserve"> Tam Viet Auditing Company Limited, in which, main targets are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6231"/>
        <w:gridCol w:w="2224"/>
      </w:tblGrid>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 xml:space="preserve">No. </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Targets</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Value (VND)</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I</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Total assets (as of March 31, 2024)</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14,772,916,355</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Short-term assets</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4,232,922,673</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w:t>
            </w:r>
          </w:p>
        </w:tc>
        <w:tc>
          <w:tcPr>
            <w:tcW w:w="3455" w:type="pct"/>
            <w:shd w:val="clear" w:color="auto" w:fill="auto"/>
            <w:tcMar>
              <w:top w:w="0" w:type="dxa"/>
              <w:bottom w:w="0" w:type="dxa"/>
            </w:tcMar>
            <w:vAlign w:val="center"/>
          </w:tcPr>
          <w:p w:rsidR="00C2372E" w:rsidRPr="00F55E7C" w:rsidRDefault="006C3527"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s="Arial"/>
                <w:color w:val="010000"/>
                <w:sz w:val="20"/>
              </w:rPr>
              <w:t>Long-term assets</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10,539,993,682</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II</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Capital source (as of March 31, 2024)</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14,772,916,355</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Payables</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7,920,313,519</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Owners’ equity</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6,852,602,836</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III</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Business results (from April 1, 2023 to March 31, 2024)</w:t>
            </w:r>
          </w:p>
        </w:tc>
        <w:tc>
          <w:tcPr>
            <w:tcW w:w="1233" w:type="pct"/>
            <w:shd w:val="clear" w:color="auto" w:fill="auto"/>
            <w:tcMar>
              <w:top w:w="0" w:type="dxa"/>
              <w:bottom w:w="0" w:type="dxa"/>
            </w:tcMar>
            <w:vAlign w:val="center"/>
          </w:tcPr>
          <w:p w:rsidR="00C2372E" w:rsidRPr="00F55E7C" w:rsidRDefault="00C2372E" w:rsidP="00F55E7C">
            <w:pPr>
              <w:tabs>
                <w:tab w:val="left" w:pos="432"/>
              </w:tabs>
              <w:spacing w:after="120" w:line="360" w:lineRule="auto"/>
              <w:rPr>
                <w:rFonts w:ascii="Arial" w:eastAsia="Arial" w:hAnsi="Arial" w:cs="Arial"/>
                <w:color w:val="010000"/>
                <w:sz w:val="20"/>
                <w:szCs w:val="20"/>
              </w:rPr>
            </w:pP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Net revenue</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2,340,964,612</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Profit before tax</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(108,294,424)</w:t>
            </w:r>
          </w:p>
        </w:tc>
      </w:tr>
      <w:tr w:rsidR="00C2372E" w:rsidRPr="00F55E7C" w:rsidTr="00F55E7C">
        <w:tc>
          <w:tcPr>
            <w:tcW w:w="31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3</w:t>
            </w:r>
          </w:p>
        </w:tc>
        <w:tc>
          <w:tcPr>
            <w:tcW w:w="3455"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Profit after tax</w:t>
            </w:r>
          </w:p>
        </w:tc>
        <w:tc>
          <w:tcPr>
            <w:tcW w:w="123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(108,294,424)</w:t>
            </w:r>
          </w:p>
        </w:tc>
      </w:tr>
    </w:tbl>
    <w:p w:rsidR="00C2372E" w:rsidRPr="00F55E7C" w:rsidRDefault="00F55E7C" w:rsidP="006C3527">
      <w:pPr>
        <w:numPr>
          <w:ilvl w:val="0"/>
          <w:numId w:val="5"/>
        </w:numPr>
        <w:pBdr>
          <w:top w:val="nil"/>
          <w:left w:val="nil"/>
          <w:bottom w:val="nil"/>
          <w:right w:val="nil"/>
          <w:between w:val="nil"/>
        </w:pBdr>
        <w:tabs>
          <w:tab w:val="left" w:pos="432"/>
          <w:tab w:val="left" w:pos="541"/>
        </w:tabs>
        <w:spacing w:after="120" w:line="360" w:lineRule="auto"/>
        <w:jc w:val="both"/>
        <w:rPr>
          <w:rFonts w:ascii="Arial" w:eastAsia="Arial" w:hAnsi="Arial" w:cs="Arial"/>
          <w:color w:val="010000"/>
          <w:sz w:val="20"/>
          <w:szCs w:val="20"/>
        </w:rPr>
      </w:pPr>
      <w:r w:rsidRPr="00F55E7C">
        <w:rPr>
          <w:rFonts w:ascii="Arial" w:hAnsi="Arial" w:cs="Arial"/>
          <w:color w:val="010000"/>
          <w:sz w:val="20"/>
        </w:rPr>
        <w:t>General Mandate 05: Approve on not distributing profit and paying dividends for the fiscal year from April 1, 2023 to March 31, 2024 due to the negative business results.</w:t>
      </w:r>
    </w:p>
    <w:p w:rsidR="00C2372E" w:rsidRPr="00F55E7C" w:rsidRDefault="00F55E7C" w:rsidP="006C3527">
      <w:pPr>
        <w:numPr>
          <w:ilvl w:val="0"/>
          <w:numId w:val="5"/>
        </w:numPr>
        <w:pBdr>
          <w:top w:val="nil"/>
          <w:left w:val="nil"/>
          <w:bottom w:val="nil"/>
          <w:right w:val="nil"/>
          <w:between w:val="nil"/>
        </w:pBdr>
        <w:tabs>
          <w:tab w:val="left" w:pos="432"/>
          <w:tab w:val="left" w:pos="541"/>
        </w:tabs>
        <w:spacing w:after="120" w:line="360" w:lineRule="auto"/>
        <w:jc w:val="both"/>
        <w:rPr>
          <w:rFonts w:ascii="Arial" w:eastAsia="Arial" w:hAnsi="Arial" w:cs="Arial"/>
          <w:color w:val="010000"/>
          <w:sz w:val="20"/>
          <w:szCs w:val="20"/>
        </w:rPr>
      </w:pPr>
      <w:r w:rsidRPr="00F55E7C">
        <w:rPr>
          <w:rFonts w:ascii="Arial" w:hAnsi="Arial" w:cs="Arial"/>
          <w:color w:val="010000"/>
          <w:sz w:val="20"/>
        </w:rPr>
        <w:lastRenderedPageBreak/>
        <w:t>General Mandate 06: Approve the production and business plan for the fiscal year 2024.</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38"/>
        <w:gridCol w:w="2350"/>
        <w:gridCol w:w="2229"/>
      </w:tblGrid>
      <w:tr w:rsidR="00C2372E" w:rsidRPr="00F55E7C" w:rsidTr="00F55E7C">
        <w:tc>
          <w:tcPr>
            <w:tcW w:w="246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Targets</w:t>
            </w:r>
          </w:p>
        </w:tc>
        <w:tc>
          <w:tcPr>
            <w:tcW w:w="130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2024 (Million VND)</w:t>
            </w:r>
          </w:p>
        </w:tc>
        <w:tc>
          <w:tcPr>
            <w:tcW w:w="1236"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Plan 2024/Results 2023</w:t>
            </w:r>
          </w:p>
        </w:tc>
      </w:tr>
      <w:tr w:rsidR="00C2372E" w:rsidRPr="00F55E7C" w:rsidTr="00F55E7C">
        <w:tc>
          <w:tcPr>
            <w:tcW w:w="246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 Total revenue and other incomes</w:t>
            </w:r>
          </w:p>
        </w:tc>
        <w:tc>
          <w:tcPr>
            <w:tcW w:w="130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1,643</w:t>
            </w:r>
          </w:p>
        </w:tc>
        <w:tc>
          <w:tcPr>
            <w:tcW w:w="1236"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57.73%</w:t>
            </w:r>
          </w:p>
        </w:tc>
      </w:tr>
      <w:tr w:rsidR="00C2372E" w:rsidRPr="00F55E7C" w:rsidTr="00F55E7C">
        <w:tc>
          <w:tcPr>
            <w:tcW w:w="246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2 Profit before tax</w:t>
            </w:r>
          </w:p>
        </w:tc>
        <w:tc>
          <w:tcPr>
            <w:tcW w:w="130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0</w:t>
            </w:r>
          </w:p>
        </w:tc>
        <w:tc>
          <w:tcPr>
            <w:tcW w:w="1236"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w:t>
            </w:r>
          </w:p>
        </w:tc>
      </w:tr>
      <w:tr w:rsidR="00C2372E" w:rsidRPr="00F55E7C" w:rsidTr="00F55E7C">
        <w:tc>
          <w:tcPr>
            <w:tcW w:w="246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3. Dividend</w:t>
            </w:r>
          </w:p>
        </w:tc>
        <w:tc>
          <w:tcPr>
            <w:tcW w:w="1303"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0</w:t>
            </w:r>
          </w:p>
        </w:tc>
        <w:tc>
          <w:tcPr>
            <w:tcW w:w="1236"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w:t>
            </w:r>
          </w:p>
        </w:tc>
      </w:tr>
    </w:tbl>
    <w:p w:rsidR="00C2372E" w:rsidRPr="00F55E7C" w:rsidRDefault="00F55E7C" w:rsidP="006C3527">
      <w:pPr>
        <w:numPr>
          <w:ilvl w:val="1"/>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55E7C">
        <w:rPr>
          <w:rFonts w:ascii="Arial" w:hAnsi="Arial" w:cs="Arial"/>
          <w:color w:val="010000"/>
          <w:sz w:val="20"/>
        </w:rPr>
        <w:t>General Mandate 07: Approve on the Company not paying remuneration for the Board of Directors and the Supervisory Board in 2024.</w:t>
      </w:r>
    </w:p>
    <w:p w:rsidR="00C2372E" w:rsidRPr="00F55E7C" w:rsidRDefault="00F55E7C" w:rsidP="006C3527">
      <w:pPr>
        <w:numPr>
          <w:ilvl w:val="0"/>
          <w:numId w:val="1"/>
        </w:numPr>
        <w:pBdr>
          <w:top w:val="nil"/>
          <w:left w:val="nil"/>
          <w:bottom w:val="nil"/>
          <w:right w:val="nil"/>
          <w:between w:val="nil"/>
        </w:pBdr>
        <w:tabs>
          <w:tab w:val="left" w:pos="432"/>
          <w:tab w:val="left" w:pos="541"/>
        </w:tabs>
        <w:spacing w:after="120" w:line="360" w:lineRule="auto"/>
        <w:jc w:val="both"/>
        <w:rPr>
          <w:rFonts w:ascii="Arial" w:eastAsia="Arial" w:hAnsi="Arial" w:cs="Arial"/>
          <w:color w:val="010000"/>
          <w:sz w:val="20"/>
          <w:szCs w:val="20"/>
        </w:rPr>
      </w:pPr>
      <w:r w:rsidRPr="00F55E7C">
        <w:rPr>
          <w:rFonts w:ascii="Arial" w:hAnsi="Arial" w:cs="Arial"/>
          <w:color w:val="010000"/>
          <w:sz w:val="20"/>
        </w:rPr>
        <w:t>General Mandate 08: Approve on authorizing the Board of Directors of the Company to select the audit company for the Financial Statements for the fiscal year ending on March 31, 2025 in accordance with the provisions of law.</w:t>
      </w:r>
    </w:p>
    <w:p w:rsidR="00C2372E" w:rsidRPr="00F55E7C" w:rsidRDefault="00F55E7C" w:rsidP="006C3527">
      <w:pPr>
        <w:numPr>
          <w:ilvl w:val="0"/>
          <w:numId w:val="1"/>
        </w:numPr>
        <w:pBdr>
          <w:top w:val="nil"/>
          <w:left w:val="nil"/>
          <w:bottom w:val="nil"/>
          <w:right w:val="nil"/>
          <w:between w:val="nil"/>
        </w:pBdr>
        <w:tabs>
          <w:tab w:val="left" w:pos="432"/>
          <w:tab w:val="left" w:pos="541"/>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General Mandate 09: Authorize the Board of Directors and allow the Board of Directors to authorize the Chair of the Board of Directors or other members of the Board of Directors to consider, decide, organize the implementation of issues approved by the </w:t>
      </w:r>
      <w:r w:rsidR="006C3527">
        <w:rPr>
          <w:rFonts w:ascii="Arial" w:hAnsi="Arial" w:cs="Arial"/>
          <w:color w:val="010000"/>
          <w:sz w:val="20"/>
        </w:rPr>
        <w:t>General Meeting</w:t>
      </w:r>
      <w:r w:rsidRPr="00F55E7C">
        <w:rPr>
          <w:rFonts w:ascii="Arial" w:hAnsi="Arial" w:cs="Arial"/>
          <w:color w:val="010000"/>
          <w:sz w:val="20"/>
        </w:rPr>
        <w:t xml:space="preserve">, consider and decide on other incurred contents under the authority of the </w:t>
      </w:r>
      <w:r w:rsidR="006C3527">
        <w:rPr>
          <w:rFonts w:ascii="Arial" w:hAnsi="Arial" w:cs="Arial"/>
          <w:color w:val="010000"/>
          <w:sz w:val="20"/>
        </w:rPr>
        <w:t>General Meeting</w:t>
      </w:r>
      <w:r w:rsidRPr="00F55E7C">
        <w:rPr>
          <w:rFonts w:ascii="Arial" w:hAnsi="Arial" w:cs="Arial"/>
          <w:color w:val="010000"/>
          <w:sz w:val="20"/>
        </w:rPr>
        <w:t xml:space="preserve"> must be resolved between the two Annual </w:t>
      </w:r>
      <w:r w:rsidR="006C3527">
        <w:rPr>
          <w:rFonts w:ascii="Arial" w:hAnsi="Arial" w:cs="Arial"/>
          <w:color w:val="010000"/>
          <w:sz w:val="20"/>
        </w:rPr>
        <w:t xml:space="preserve">General </w:t>
      </w:r>
      <w:r w:rsidRPr="00F55E7C">
        <w:rPr>
          <w:rFonts w:ascii="Arial" w:hAnsi="Arial" w:cs="Arial"/>
          <w:color w:val="010000"/>
          <w:sz w:val="20"/>
        </w:rPr>
        <w:t>Meetings, implement relevant procedures according to regulations.</w:t>
      </w:r>
    </w:p>
    <w:p w:rsidR="00C2372E" w:rsidRPr="00F55E7C" w:rsidRDefault="00F55E7C" w:rsidP="006C352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 xml:space="preserve">General Mandates, authorized contents according to the Annual General Mandate 2024 take effect from the date of their approval and shall not be limited in effectiveness until the </w:t>
      </w:r>
      <w:r w:rsidR="006C3527">
        <w:rPr>
          <w:rFonts w:ascii="Arial" w:hAnsi="Arial" w:cs="Arial"/>
          <w:color w:val="010000"/>
          <w:sz w:val="20"/>
        </w:rPr>
        <w:t>General Meeting</w:t>
      </w:r>
      <w:r w:rsidRPr="00F55E7C">
        <w:rPr>
          <w:rFonts w:ascii="Arial" w:hAnsi="Arial" w:cs="Arial"/>
          <w:color w:val="010000"/>
          <w:sz w:val="20"/>
        </w:rPr>
        <w:t xml:space="preserve"> makes another decision to replace them.</w:t>
      </w:r>
    </w:p>
    <w:p w:rsidR="00C2372E" w:rsidRPr="00F55E7C" w:rsidRDefault="00F55E7C" w:rsidP="006C352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Article 2: Approve the election to replace members of the Board of Directors for the remaining time of the term 2023-2028 as follows:</w:t>
      </w:r>
    </w:p>
    <w:p w:rsidR="00C2372E" w:rsidRPr="00F55E7C" w:rsidRDefault="00F55E7C" w:rsidP="006C352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55E7C">
        <w:rPr>
          <w:rFonts w:ascii="Arial" w:hAnsi="Arial" w:cs="Arial"/>
          <w:color w:val="010000"/>
          <w:sz w:val="20"/>
        </w:rPr>
        <w:t>Approve on dismissing member of the Board of Directors of the Company for Mr. Dinh Tien Thanh.</w:t>
      </w:r>
    </w:p>
    <w:p w:rsidR="00C2372E" w:rsidRPr="00F55E7C" w:rsidRDefault="00F55E7C" w:rsidP="006C352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55E7C">
        <w:rPr>
          <w:rFonts w:ascii="Arial" w:hAnsi="Arial" w:cs="Arial"/>
          <w:color w:val="010000"/>
          <w:sz w:val="20"/>
        </w:rPr>
        <w:t xml:space="preserve">Approve the number of additional elected members of the Board of Directors for the remaining time of the term 2023-2028 of 01 </w:t>
      </w:r>
      <w:proofErr w:type="gramStart"/>
      <w:r w:rsidRPr="00F55E7C">
        <w:rPr>
          <w:rFonts w:ascii="Arial" w:hAnsi="Arial" w:cs="Arial"/>
          <w:color w:val="010000"/>
          <w:sz w:val="20"/>
        </w:rPr>
        <w:t>member</w:t>
      </w:r>
      <w:proofErr w:type="gramEnd"/>
      <w:r w:rsidRPr="00F55E7C">
        <w:rPr>
          <w:rFonts w:ascii="Arial" w:hAnsi="Arial" w:cs="Arial"/>
          <w:color w:val="010000"/>
          <w:sz w:val="20"/>
        </w:rPr>
        <w:t>.</w:t>
      </w:r>
    </w:p>
    <w:p w:rsidR="00C2372E" w:rsidRPr="00F55E7C" w:rsidRDefault="00F55E7C" w:rsidP="006C352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55E7C">
        <w:rPr>
          <w:rFonts w:ascii="Arial" w:hAnsi="Arial" w:cs="Arial"/>
          <w:color w:val="010000"/>
          <w:sz w:val="20"/>
        </w:rPr>
        <w:t>Elect additional members of the Board of Directors of the Company for the remaining time of the term 2023-2028 by the form of cumulative voting with the results as follows:</w:t>
      </w:r>
    </w:p>
    <w:p w:rsidR="00C2372E" w:rsidRPr="00F55E7C" w:rsidRDefault="00F55E7C" w:rsidP="006C3527">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55E7C">
        <w:rPr>
          <w:rFonts w:ascii="Arial" w:hAnsi="Arial" w:cs="Arial"/>
          <w:color w:val="010000"/>
          <w:sz w:val="20"/>
        </w:rPr>
        <w:t>The election results of additional members of the Board of Directors for the remaining time of the term 2023-2028:</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0"/>
        <w:gridCol w:w="3174"/>
        <w:gridCol w:w="2941"/>
        <w:gridCol w:w="1852"/>
      </w:tblGrid>
      <w:tr w:rsidR="00C2372E" w:rsidRPr="00F55E7C" w:rsidTr="00F55E7C">
        <w:tc>
          <w:tcPr>
            <w:tcW w:w="58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 xml:space="preserve">No. </w:t>
            </w:r>
          </w:p>
        </w:tc>
        <w:tc>
          <w:tcPr>
            <w:tcW w:w="1760"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Elected candidate</w:t>
            </w:r>
          </w:p>
        </w:tc>
        <w:tc>
          <w:tcPr>
            <w:tcW w:w="163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Elected position</w:t>
            </w:r>
          </w:p>
        </w:tc>
        <w:tc>
          <w:tcPr>
            <w:tcW w:w="1027"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Result</w:t>
            </w:r>
          </w:p>
        </w:tc>
      </w:tr>
      <w:tr w:rsidR="00C2372E" w:rsidRPr="00F55E7C" w:rsidTr="00F55E7C">
        <w:tc>
          <w:tcPr>
            <w:tcW w:w="582"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1</w:t>
            </w:r>
          </w:p>
        </w:tc>
        <w:tc>
          <w:tcPr>
            <w:tcW w:w="1760"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Do Tue Tam</w:t>
            </w:r>
          </w:p>
        </w:tc>
        <w:tc>
          <w:tcPr>
            <w:tcW w:w="1631"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Member of the Board of Directors</w:t>
            </w:r>
          </w:p>
        </w:tc>
        <w:tc>
          <w:tcPr>
            <w:tcW w:w="1027" w:type="pct"/>
            <w:shd w:val="clear" w:color="auto" w:fill="auto"/>
            <w:tcMar>
              <w:top w:w="0" w:type="dxa"/>
              <w:bottom w:w="0" w:type="dxa"/>
            </w:tcMar>
            <w:vAlign w:val="center"/>
          </w:tcPr>
          <w:p w:rsidR="00C2372E" w:rsidRPr="00F55E7C" w:rsidRDefault="00F55E7C" w:rsidP="00F55E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55E7C">
              <w:rPr>
                <w:rFonts w:ascii="Arial" w:hAnsi="Arial" w:cs="Arial"/>
                <w:color w:val="010000"/>
                <w:sz w:val="20"/>
              </w:rPr>
              <w:t>Elected</w:t>
            </w:r>
          </w:p>
        </w:tc>
      </w:tr>
    </w:tbl>
    <w:p w:rsidR="006C3527" w:rsidRDefault="006C3527" w:rsidP="006C3527">
      <w:pPr>
        <w:pBdr>
          <w:top w:val="nil"/>
          <w:left w:val="nil"/>
          <w:bottom w:val="nil"/>
          <w:right w:val="nil"/>
          <w:between w:val="nil"/>
        </w:pBdr>
        <w:tabs>
          <w:tab w:val="left" w:pos="432"/>
        </w:tabs>
        <w:spacing w:after="120" w:line="360" w:lineRule="auto"/>
        <w:jc w:val="both"/>
        <w:rPr>
          <w:rFonts w:ascii="Arial" w:hAnsi="Arial" w:cs="Arial"/>
          <w:color w:val="010000"/>
          <w:sz w:val="20"/>
        </w:rPr>
      </w:pPr>
    </w:p>
    <w:p w:rsidR="00C2372E" w:rsidRPr="00F55E7C" w:rsidRDefault="00F55E7C" w:rsidP="006C352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55E7C">
        <w:rPr>
          <w:rFonts w:ascii="Arial" w:hAnsi="Arial" w:cs="Arial"/>
          <w:color w:val="010000"/>
          <w:sz w:val="20"/>
        </w:rPr>
        <w:t>Article 3: This General Mandate takes effect from the date of its signing. Members</w:t>
      </w:r>
      <w:r w:rsidR="006C3527">
        <w:rPr>
          <w:rFonts w:ascii="Arial" w:hAnsi="Arial" w:cs="Arial"/>
          <w:color w:val="010000"/>
          <w:sz w:val="20"/>
        </w:rPr>
        <w:t xml:space="preserve"> of the Board of Directors, Supervisory Board and Executive Board</w:t>
      </w:r>
      <w:bookmarkStart w:id="0" w:name="_GoBack"/>
      <w:bookmarkEnd w:id="0"/>
      <w:r w:rsidRPr="00F55E7C">
        <w:rPr>
          <w:rFonts w:ascii="Arial" w:hAnsi="Arial" w:cs="Arial"/>
          <w:color w:val="010000"/>
          <w:sz w:val="20"/>
        </w:rPr>
        <w:t xml:space="preserve">, Heads of departments/divisions/branches/subsidiaries of the Company, and relevant individuals are responsible </w:t>
      </w:r>
      <w:r w:rsidRPr="00F55E7C">
        <w:rPr>
          <w:rFonts w:ascii="Arial" w:hAnsi="Arial" w:cs="Arial"/>
          <w:color w:val="010000"/>
          <w:sz w:val="20"/>
        </w:rPr>
        <w:lastRenderedPageBreak/>
        <w:t>for the implementation of this General Mandate./.</w:t>
      </w:r>
    </w:p>
    <w:sectPr w:rsidR="00C2372E" w:rsidRPr="00F55E7C" w:rsidSect="00F55E7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120"/>
    <w:multiLevelType w:val="multilevel"/>
    <w:tmpl w:val="76D67D1E"/>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9D5875"/>
    <w:multiLevelType w:val="multilevel"/>
    <w:tmpl w:val="B7CEFB52"/>
    <w:lvl w:ilvl="0">
      <w:start w:val="1"/>
      <w:numFmt w:val="decimal"/>
      <w:lvlText w:val="%1."/>
      <w:lvlJc w:val="left"/>
      <w:pPr>
        <w:ind w:left="360" w:hanging="360"/>
      </w:pPr>
      <w:rPr>
        <w:rFonts w:ascii="Arial" w:eastAsia="Arial" w:hAnsi="Arial" w:cs="Arial"/>
        <w:b w:val="0"/>
        <w:i w:val="0"/>
        <w:sz w:val="20"/>
        <w:szCs w:val="20"/>
        <w:u w:val="none"/>
      </w:rPr>
    </w:lvl>
    <w:lvl w:ilvl="1">
      <w:start w:val="7"/>
      <w:numFmt w:val="decimal"/>
      <w:lvlText w:val="%1.%2."/>
      <w:lvlJc w:val="left"/>
      <w:pPr>
        <w:ind w:left="360" w:hanging="360"/>
      </w:pPr>
      <w:rPr>
        <w:rFonts w:ascii="Arial" w:eastAsia="Arial" w:hAnsi="Arial" w:cs="Arial"/>
        <w:b w:val="0"/>
        <w:i w:val="0"/>
        <w:sz w:val="20"/>
        <w:szCs w:val="20"/>
      </w:rPr>
    </w:lvl>
    <w:lvl w:ilvl="2">
      <w:start w:val="1"/>
      <w:numFmt w:val="decimal"/>
      <w:lvlText w:val="%1.%2.%3."/>
      <w:lvlJc w:val="left"/>
      <w:pPr>
        <w:ind w:left="720" w:hanging="720"/>
      </w:pPr>
      <w:rPr>
        <w:rFonts w:ascii="Arial" w:eastAsia="Arial" w:hAnsi="Arial" w:cs="Arial"/>
        <w:b w:val="0"/>
        <w:i w:val="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1AF178E"/>
    <w:multiLevelType w:val="multilevel"/>
    <w:tmpl w:val="A106DA6A"/>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7E271BF"/>
    <w:multiLevelType w:val="multilevel"/>
    <w:tmpl w:val="3B9C3F72"/>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AD4C3C"/>
    <w:multiLevelType w:val="multilevel"/>
    <w:tmpl w:val="9E36E46C"/>
    <w:lvl w:ilvl="0">
      <w:start w:val="8"/>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E"/>
    <w:rsid w:val="006C3527"/>
    <w:rsid w:val="00C2372E"/>
    <w:rsid w:val="00F5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D6236"/>
  <w15:docId w15:val="{D7782C2B-D3A9-4720-B28F-DA25C1B6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D20F29"/>
      <w:w w:val="6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20F29"/>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14"/>
      <w:szCs w:val="14"/>
      <w:u w:val="none"/>
      <w:shd w:val="clear" w:color="auto" w:fill="auto"/>
    </w:rPr>
  </w:style>
  <w:style w:type="paragraph" w:customStyle="1" w:styleId="Vnbnnidung30">
    <w:name w:val="Văn bản nội dung (3)"/>
    <w:basedOn w:val="Normal"/>
    <w:link w:val="Vnbnnidung3"/>
    <w:pPr>
      <w:ind w:firstLine="440"/>
    </w:pPr>
    <w:rPr>
      <w:rFonts w:ascii="Arial" w:eastAsia="Arial" w:hAnsi="Arial" w:cs="Arial"/>
      <w:b/>
      <w:bCs/>
      <w:color w:val="D20F29"/>
      <w:w w:val="60"/>
      <w:sz w:val="26"/>
      <w:szCs w:val="26"/>
    </w:rPr>
  </w:style>
  <w:style w:type="paragraph" w:customStyle="1" w:styleId="Vnbnnidung0">
    <w:name w:val="Văn bản nội dung"/>
    <w:basedOn w:val="Normal"/>
    <w:link w:val="Vnbnnidung"/>
    <w:pPr>
      <w:spacing w:line="302" w:lineRule="auto"/>
    </w:pPr>
    <w:rPr>
      <w:rFonts w:ascii="Times New Roman" w:eastAsia="Times New Roman" w:hAnsi="Times New Roman" w:cs="Times New Roman"/>
      <w:sz w:val="22"/>
      <w:szCs w:val="22"/>
    </w:rPr>
  </w:style>
  <w:style w:type="paragraph" w:customStyle="1" w:styleId="Tiu20">
    <w:name w:val="Tiêu đề #2"/>
    <w:basedOn w:val="Normal"/>
    <w:link w:val="Tiu2"/>
    <w:pPr>
      <w:spacing w:line="269" w:lineRule="auto"/>
      <w:ind w:firstLine="170"/>
      <w:outlineLvl w:val="1"/>
    </w:pPr>
    <w:rPr>
      <w:rFonts w:ascii="Times New Roman" w:eastAsia="Times New Roman" w:hAnsi="Times New Roman" w:cs="Times New Roman"/>
      <w:b/>
      <w:bCs/>
      <w:sz w:val="22"/>
      <w:szCs w:val="22"/>
    </w:rPr>
  </w:style>
  <w:style w:type="paragraph" w:customStyle="1" w:styleId="Vnbnnidung50">
    <w:name w:val="Văn bản nội dung (5)"/>
    <w:basedOn w:val="Normal"/>
    <w:link w:val="Vnbnnidung5"/>
    <w:rPr>
      <w:rFonts w:ascii="Arial" w:eastAsia="Arial" w:hAnsi="Arial" w:cs="Arial"/>
      <w:color w:val="D20F29"/>
      <w:sz w:val="19"/>
      <w:szCs w:val="19"/>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customStyle="1" w:styleId="Khc0">
    <w:name w:val="Khác"/>
    <w:basedOn w:val="Normal"/>
    <w:link w:val="Khc"/>
    <w:pPr>
      <w:spacing w:line="302"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pPr>
      <w:spacing w:line="322" w:lineRule="auto"/>
      <w:ind w:left="540" w:hanging="54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line="310" w:lineRule="auto"/>
      <w:ind w:firstLine="780"/>
    </w:pPr>
    <w:rPr>
      <w:rFonts w:ascii="Times New Roman" w:eastAsia="Times New Roman" w:hAnsi="Times New Roman" w:cs="Times New Roman"/>
    </w:rPr>
  </w:style>
  <w:style w:type="paragraph" w:customStyle="1" w:styleId="Vnbnnidung40">
    <w:name w:val="Văn bản nội dung (4)"/>
    <w:basedOn w:val="Normal"/>
    <w:link w:val="Vnbnnidung4"/>
    <w:pPr>
      <w:ind w:left="2180"/>
    </w:pPr>
    <w:rPr>
      <w:rFonts w:ascii="Arial" w:eastAsia="Arial" w:hAnsi="Arial" w:cs="Arial"/>
      <w:b/>
      <w:bCs/>
      <w:sz w:val="14"/>
      <w:szCs w:val="1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HsmsZZeovrM61jZmgS8pKlp4xg==">CgMxLjA4AHIhMTJTLXVQYjlzUF9WekFEQ2ZJZVRYVUhiVl95WUxtOE12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2024-09-26T02:26:00Z</dcterms:created>
  <dcterms:modified xsi:type="dcterms:W3CDTF">2024-09-26T02:26:00Z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53d29e41a7044e7a5978e13fc298501e40354d7c2dac131c68621b7fb7910e0f</vt:lpwstr>
  </property>
</Properties>
</file>