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F7C97" w:rsidRPr="00842BC1" w:rsidRDefault="00842BC1" w:rsidP="003234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842BC1">
        <w:rPr>
          <w:rFonts w:ascii="Arial" w:hAnsi="Arial" w:cs="Arial"/>
          <w:b/>
          <w:color w:val="010000"/>
          <w:sz w:val="20"/>
        </w:rPr>
        <w:t>NVB: Board Resolution</w:t>
      </w:r>
    </w:p>
    <w:p w14:paraId="00000002" w14:textId="77777777" w:rsidR="006F7C97" w:rsidRPr="00842BC1" w:rsidRDefault="00842BC1" w:rsidP="003234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BC1">
        <w:rPr>
          <w:rFonts w:ascii="Arial" w:hAnsi="Arial" w:cs="Arial"/>
          <w:color w:val="010000"/>
          <w:sz w:val="20"/>
        </w:rPr>
        <w:t>On September 20, 2024, National Citizen Commercial Joint Stock Bank announced Resolution No. 1913/2024/NQ-HDQT on approving contracts and transactions valued at under 20% of charter capital between National Citizen Commercial Joint Stock Bank and affiliated persons as follows:</w:t>
      </w:r>
    </w:p>
    <w:p w14:paraId="00000003" w14:textId="77777777" w:rsidR="006F7C97" w:rsidRPr="00842BC1" w:rsidRDefault="00842BC1" w:rsidP="003234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BC1">
        <w:rPr>
          <w:rFonts w:ascii="Arial" w:hAnsi="Arial" w:cs="Arial"/>
          <w:color w:val="010000"/>
          <w:sz w:val="20"/>
        </w:rPr>
        <w:t>‎‎Article 1. Approve contracts and transactions valued at under 20% of charter capital between National Citizen Commercial Joint Stock Bank and affiliated persons according to the contents specified in Sections II and III of Proposal No. 09.07/2024/TTr - QTRR.RRTD dated September 07, 2024, of the Risk Management Department and the Individual Customer Department.</w:t>
      </w:r>
    </w:p>
    <w:p w14:paraId="00000004" w14:textId="77777777" w:rsidR="006F7C97" w:rsidRPr="00842BC1" w:rsidRDefault="00842BC1" w:rsidP="003234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BC1">
        <w:rPr>
          <w:rFonts w:ascii="Arial" w:hAnsi="Arial" w:cs="Arial"/>
          <w:color w:val="010000"/>
          <w:sz w:val="20"/>
        </w:rPr>
        <w:t>‎‎Article 2. This Resolution takes effect from September 20, 2024.</w:t>
      </w:r>
    </w:p>
    <w:p w14:paraId="00000005" w14:textId="77777777" w:rsidR="006F7C97" w:rsidRPr="00842BC1" w:rsidRDefault="00842BC1" w:rsidP="003234D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2BC1">
        <w:rPr>
          <w:rFonts w:ascii="Arial" w:hAnsi="Arial" w:cs="Arial"/>
          <w:color w:val="010000"/>
          <w:sz w:val="20"/>
        </w:rPr>
        <w:t>‎‎Article 3. Within the scope of their authority and responsibilities, relevant units and individuals are responsible for the implementation of this Resolution.</w:t>
      </w:r>
      <w:bookmarkEnd w:id="0"/>
    </w:p>
    <w:sectPr w:rsidR="006F7C97" w:rsidRPr="00842BC1" w:rsidSect="00842BC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97"/>
    <w:rsid w:val="003234DC"/>
    <w:rsid w:val="006F7C97"/>
    <w:rsid w:val="008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A99E7B-67EA-4A93-8A85-B6B96859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Arial" w:eastAsia="Arial" w:hAnsi="Arial" w:cs="Arial"/>
      <w:smallCaps/>
      <w:sz w:val="32"/>
      <w:szCs w:val="32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fi5SVNdzXeYjitKLk/51J410g==">CgMxLjA4AHIhMU9zSnVrcFlFb1RJNnEyOTR4Rk1oX1FYRmoySFdzbjM0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2024-09-25T03:17:00Z</dcterms:created>
  <dcterms:modified xsi:type="dcterms:W3CDTF">2024-09-26T05:02:00Z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5b2b01ff13ebde1315e516eb1df33b0eea3f2b6deeb5461df5488004f9cd031b</vt:lpwstr>
  </property>
</Properties>
</file>