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B4DAD" w:rsidRPr="002D41FE" w:rsidRDefault="007A2554" w:rsidP="00C50B05">
      <w:pPr>
        <w:pBdr>
          <w:top w:val="nil"/>
          <w:left w:val="nil"/>
          <w:bottom w:val="nil"/>
          <w:right w:val="nil"/>
          <w:between w:val="nil"/>
        </w:pBdr>
        <w:tabs>
          <w:tab w:val="left" w:pos="284"/>
          <w:tab w:val="left" w:pos="3672"/>
        </w:tabs>
        <w:spacing w:after="120" w:line="360" w:lineRule="auto"/>
        <w:jc w:val="both"/>
        <w:rPr>
          <w:rFonts w:ascii="Arial" w:eastAsia="Arial" w:hAnsi="Arial" w:cs="Arial"/>
          <w:b/>
          <w:color w:val="010000"/>
          <w:sz w:val="20"/>
          <w:szCs w:val="20"/>
        </w:rPr>
      </w:pPr>
      <w:r w:rsidRPr="002D41FE">
        <w:rPr>
          <w:rFonts w:ascii="Arial" w:hAnsi="Arial" w:cs="Arial"/>
          <w:b/>
          <w:bCs/>
          <w:color w:val="010000"/>
          <w:sz w:val="20"/>
        </w:rPr>
        <w:t>CE1:</w:t>
      </w:r>
      <w:r w:rsidRPr="002D41FE">
        <w:rPr>
          <w:rFonts w:ascii="Arial" w:hAnsi="Arial" w:cs="Arial"/>
          <w:b/>
          <w:color w:val="010000"/>
          <w:sz w:val="20"/>
        </w:rPr>
        <w:t xml:space="preserve"> Board Resolution</w:t>
      </w:r>
    </w:p>
    <w:p w14:paraId="00000002" w14:textId="71DE7661" w:rsidR="001B4DAD" w:rsidRPr="002D41FE" w:rsidRDefault="007A2554" w:rsidP="00C50B05">
      <w:pPr>
        <w:pBdr>
          <w:top w:val="nil"/>
          <w:left w:val="nil"/>
          <w:bottom w:val="nil"/>
          <w:right w:val="nil"/>
          <w:between w:val="nil"/>
        </w:pBdr>
        <w:tabs>
          <w:tab w:val="left" w:pos="284"/>
          <w:tab w:val="left" w:pos="3672"/>
        </w:tabs>
        <w:spacing w:after="120" w:line="360" w:lineRule="auto"/>
        <w:jc w:val="both"/>
        <w:rPr>
          <w:rFonts w:ascii="Arial" w:eastAsia="Arial" w:hAnsi="Arial" w:cs="Arial"/>
          <w:color w:val="010000"/>
          <w:sz w:val="20"/>
          <w:szCs w:val="20"/>
        </w:rPr>
      </w:pPr>
      <w:r w:rsidRPr="002D41FE">
        <w:rPr>
          <w:rFonts w:ascii="Arial" w:hAnsi="Arial" w:cs="Arial"/>
          <w:color w:val="010000"/>
          <w:sz w:val="20"/>
        </w:rPr>
        <w:t xml:space="preserve">On September 24, 2024, Construction And Industry Equipment Joint Stock Company - CIE1 announced Resolution </w:t>
      </w:r>
      <w:r w:rsidR="002D41FE">
        <w:rPr>
          <w:rFonts w:ascii="Arial" w:hAnsi="Arial" w:cs="Arial"/>
          <w:color w:val="010000"/>
          <w:sz w:val="20"/>
        </w:rPr>
        <w:t xml:space="preserve">No. </w:t>
      </w:r>
      <w:r w:rsidRPr="002D41FE">
        <w:rPr>
          <w:rFonts w:ascii="Arial" w:hAnsi="Arial" w:cs="Arial"/>
          <w:color w:val="010000"/>
          <w:sz w:val="20"/>
        </w:rPr>
        <w:t xml:space="preserve">07/NQ-HDQT-CIE1 on the Meeting of the Board of Directors in Q3 of the term 2023-2028 as follows: </w:t>
      </w:r>
    </w:p>
    <w:p w14:paraId="00000003" w14:textId="053E10DE" w:rsidR="001B4DAD" w:rsidRPr="002D41FE" w:rsidRDefault="007A2554" w:rsidP="00C50B05">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2D41FE">
        <w:rPr>
          <w:rFonts w:ascii="Arial" w:hAnsi="Arial" w:cs="Arial"/>
          <w:color w:val="010000"/>
          <w:sz w:val="20"/>
        </w:rPr>
        <w:t xml:space="preserve">‎‎Article 1. Approve the contents of Resolutions in the Meeting of the Board of Directors Q3/2024 for </w:t>
      </w:r>
      <w:r w:rsidR="00391EC2" w:rsidRPr="002D41FE">
        <w:rPr>
          <w:rFonts w:ascii="Arial" w:hAnsi="Arial" w:cs="Arial"/>
          <w:color w:val="010000"/>
          <w:sz w:val="20"/>
        </w:rPr>
        <w:t>organizing</w:t>
      </w:r>
      <w:r w:rsidRPr="002D41FE">
        <w:rPr>
          <w:rFonts w:ascii="Arial" w:hAnsi="Arial" w:cs="Arial"/>
          <w:color w:val="010000"/>
          <w:sz w:val="20"/>
        </w:rPr>
        <w:t xml:space="preserve"> and </w:t>
      </w:r>
      <w:r w:rsidR="00391EC2" w:rsidRPr="002D41FE">
        <w:rPr>
          <w:rFonts w:ascii="Arial" w:hAnsi="Arial" w:cs="Arial"/>
          <w:color w:val="010000"/>
          <w:sz w:val="20"/>
        </w:rPr>
        <w:t>implementing</w:t>
      </w:r>
      <w:r w:rsidRPr="002D41FE">
        <w:rPr>
          <w:rFonts w:ascii="Arial" w:hAnsi="Arial" w:cs="Arial"/>
          <w:color w:val="010000"/>
          <w:sz w:val="20"/>
        </w:rPr>
        <w:t>, including:</w:t>
      </w:r>
      <w:bookmarkStart w:id="0" w:name="_GoBack"/>
      <w:bookmarkEnd w:id="0"/>
    </w:p>
    <w:p w14:paraId="00000004" w14:textId="77777777" w:rsidR="001B4DAD" w:rsidRPr="002D41FE" w:rsidRDefault="007A2554" w:rsidP="00C50B05">
      <w:pPr>
        <w:pBdr>
          <w:top w:val="nil"/>
          <w:left w:val="nil"/>
          <w:bottom w:val="nil"/>
          <w:right w:val="nil"/>
          <w:between w:val="nil"/>
        </w:pBdr>
        <w:tabs>
          <w:tab w:val="left" w:pos="284"/>
          <w:tab w:val="left" w:pos="823"/>
        </w:tabs>
        <w:spacing w:after="120" w:line="360" w:lineRule="auto"/>
        <w:jc w:val="both"/>
        <w:rPr>
          <w:rFonts w:ascii="Arial" w:eastAsia="Arial" w:hAnsi="Arial" w:cs="Arial"/>
          <w:color w:val="010000"/>
          <w:sz w:val="20"/>
          <w:szCs w:val="20"/>
        </w:rPr>
      </w:pPr>
      <w:r w:rsidRPr="002D41FE">
        <w:rPr>
          <w:rFonts w:ascii="Arial" w:hAnsi="Arial" w:cs="Arial"/>
          <w:color w:val="010000"/>
          <w:sz w:val="20"/>
        </w:rPr>
        <w:t>1) Approve the Report of the General Manager on the results of the production and business activities in the first 06 months of 2024 and estimate in the first 9 months of 2024; on the situation and ability to develop the product market; solutions to strive to achieve business results in 2024;</w:t>
      </w:r>
    </w:p>
    <w:p w14:paraId="00000005" w14:textId="4D28D8DA" w:rsidR="001B4DAD" w:rsidRPr="002D41FE" w:rsidRDefault="007A2554" w:rsidP="00C50B05">
      <w:pPr>
        <w:pBdr>
          <w:top w:val="nil"/>
          <w:left w:val="nil"/>
          <w:bottom w:val="nil"/>
          <w:right w:val="nil"/>
          <w:between w:val="nil"/>
        </w:pBdr>
        <w:tabs>
          <w:tab w:val="left" w:pos="284"/>
          <w:tab w:val="left" w:pos="9599"/>
        </w:tabs>
        <w:spacing w:after="120" w:line="360" w:lineRule="auto"/>
        <w:jc w:val="both"/>
        <w:rPr>
          <w:rFonts w:ascii="Arial" w:eastAsia="Arial" w:hAnsi="Arial" w:cs="Arial"/>
          <w:color w:val="010000"/>
          <w:sz w:val="20"/>
          <w:szCs w:val="20"/>
        </w:rPr>
      </w:pPr>
      <w:r w:rsidRPr="002D41FE">
        <w:rPr>
          <w:rFonts w:ascii="Arial" w:hAnsi="Arial" w:cs="Arial"/>
          <w:color w:val="010000"/>
          <w:sz w:val="20"/>
        </w:rPr>
        <w:t xml:space="preserve">The General Manager is responsible for and directs functional units of the Company to actively recover receivables, reduce payables, and reduce short-term outstanding </w:t>
      </w:r>
      <w:r w:rsidR="00391EC2" w:rsidRPr="002D41FE">
        <w:rPr>
          <w:rFonts w:ascii="Arial" w:hAnsi="Arial" w:cs="Arial"/>
          <w:color w:val="010000"/>
          <w:sz w:val="20"/>
        </w:rPr>
        <w:t>balance</w:t>
      </w:r>
      <w:r w:rsidRPr="002D41FE">
        <w:rPr>
          <w:rFonts w:ascii="Arial" w:hAnsi="Arial" w:cs="Arial"/>
          <w:color w:val="010000"/>
          <w:sz w:val="20"/>
        </w:rPr>
        <w:t>. Direct the Organization - Accounting Department as well as relevant units to review inventory (in use with usable value, no longer usable value, lost or missing); synthesize and develop a plan to continue handling in 2024; in case of exceeding authority, report to the Board of Directors for consideration and/or submit to the General Meeting of Shareholders for decision.</w:t>
      </w:r>
    </w:p>
    <w:p w14:paraId="00000006" w14:textId="189759F2" w:rsidR="001B4DAD" w:rsidRPr="002D41FE" w:rsidRDefault="007A2554" w:rsidP="00C50B05">
      <w:pPr>
        <w:pBdr>
          <w:top w:val="nil"/>
          <w:left w:val="nil"/>
          <w:bottom w:val="nil"/>
          <w:right w:val="nil"/>
          <w:between w:val="nil"/>
        </w:pBdr>
        <w:tabs>
          <w:tab w:val="left" w:pos="284"/>
          <w:tab w:val="left" w:pos="9599"/>
        </w:tabs>
        <w:spacing w:after="120" w:line="360" w:lineRule="auto"/>
        <w:jc w:val="both"/>
        <w:rPr>
          <w:rFonts w:ascii="Arial" w:eastAsia="Arial" w:hAnsi="Arial" w:cs="Arial"/>
          <w:color w:val="010000"/>
          <w:sz w:val="20"/>
          <w:szCs w:val="20"/>
        </w:rPr>
      </w:pPr>
      <w:r w:rsidRPr="002D41FE">
        <w:rPr>
          <w:rFonts w:ascii="Arial" w:hAnsi="Arial" w:cs="Arial"/>
          <w:color w:val="010000"/>
          <w:sz w:val="20"/>
        </w:rPr>
        <w:t xml:space="preserve">2) Approve the business plan and demand for </w:t>
      </w:r>
      <w:r w:rsidR="00391EC2" w:rsidRPr="002D41FE">
        <w:rPr>
          <w:rFonts w:ascii="Arial" w:hAnsi="Arial" w:cs="Arial"/>
          <w:color w:val="010000"/>
          <w:sz w:val="20"/>
        </w:rPr>
        <w:t xml:space="preserve">a </w:t>
      </w:r>
      <w:r w:rsidRPr="002D41FE">
        <w:rPr>
          <w:rFonts w:ascii="Arial" w:hAnsi="Arial" w:cs="Arial"/>
          <w:color w:val="010000"/>
          <w:sz w:val="20"/>
        </w:rPr>
        <w:t xml:space="preserve">working capital loan (in 2024 and early 2025) to serve </w:t>
      </w:r>
      <w:proofErr w:type="gramStart"/>
      <w:r w:rsidRPr="002D41FE">
        <w:rPr>
          <w:rFonts w:ascii="Arial" w:hAnsi="Arial" w:cs="Arial"/>
          <w:color w:val="010000"/>
          <w:sz w:val="20"/>
        </w:rPr>
        <w:t>the</w:t>
      </w:r>
      <w:proofErr w:type="gramEnd"/>
      <w:r w:rsidRPr="002D41FE">
        <w:rPr>
          <w:rFonts w:ascii="Arial" w:hAnsi="Arial" w:cs="Arial"/>
          <w:color w:val="010000"/>
          <w:sz w:val="20"/>
        </w:rPr>
        <w:t xml:space="preserve"> production and business activities of Construction And Industry Equipment Joint Stock Company - CIE1.</w:t>
      </w:r>
    </w:p>
    <w:p w14:paraId="00000007" w14:textId="1BD7979E" w:rsidR="001B4DAD" w:rsidRPr="002D41FE" w:rsidRDefault="007A2554" w:rsidP="00C50B05">
      <w:pPr>
        <w:pStyle w:val="ListParagraph"/>
        <w:numPr>
          <w:ilvl w:val="0"/>
          <w:numId w:val="2"/>
        </w:numPr>
        <w:pBdr>
          <w:top w:val="nil"/>
          <w:left w:val="nil"/>
          <w:bottom w:val="nil"/>
          <w:right w:val="nil"/>
          <w:between w:val="nil"/>
        </w:pBdr>
        <w:tabs>
          <w:tab w:val="left" w:pos="284"/>
        </w:tabs>
        <w:spacing w:after="120" w:line="360" w:lineRule="auto"/>
        <w:ind w:left="0" w:firstLine="0"/>
        <w:contextualSpacing w:val="0"/>
        <w:jc w:val="both"/>
        <w:rPr>
          <w:rFonts w:ascii="Arial" w:eastAsia="Arial" w:hAnsi="Arial" w:cs="Arial"/>
          <w:color w:val="010000"/>
          <w:sz w:val="20"/>
          <w:szCs w:val="20"/>
        </w:rPr>
      </w:pPr>
      <w:r w:rsidRPr="002D41FE">
        <w:rPr>
          <w:rFonts w:ascii="Arial" w:hAnsi="Arial" w:cs="Arial"/>
          <w:color w:val="010000"/>
          <w:sz w:val="20"/>
        </w:rPr>
        <w:t xml:space="preserve">Approve the plan on borrowing capital, guaranteeing, opening L/C, and corporate credit cards at Joint Stock Commercial Bank for Investment and Development of Vietnam - My </w:t>
      </w:r>
      <w:proofErr w:type="spellStart"/>
      <w:r w:rsidRPr="002D41FE">
        <w:rPr>
          <w:rFonts w:ascii="Arial" w:hAnsi="Arial" w:cs="Arial"/>
          <w:color w:val="010000"/>
          <w:sz w:val="20"/>
        </w:rPr>
        <w:t>Dinh</w:t>
      </w:r>
      <w:proofErr w:type="spellEnd"/>
      <w:r w:rsidRPr="002D41FE">
        <w:rPr>
          <w:rFonts w:ascii="Arial" w:hAnsi="Arial" w:cs="Arial"/>
          <w:color w:val="010000"/>
          <w:sz w:val="20"/>
        </w:rPr>
        <w:t xml:space="preserve"> Branch, specifically as follows:</w:t>
      </w:r>
    </w:p>
    <w:p w14:paraId="00000008" w14:textId="016245E0" w:rsidR="001B4DAD" w:rsidRPr="002D41FE" w:rsidRDefault="007A2554" w:rsidP="00C50B05">
      <w:pPr>
        <w:numPr>
          <w:ilvl w:val="0"/>
          <w:numId w:val="1"/>
        </w:numPr>
        <w:pBdr>
          <w:top w:val="nil"/>
          <w:left w:val="nil"/>
          <w:bottom w:val="nil"/>
          <w:right w:val="nil"/>
          <w:between w:val="nil"/>
        </w:pBdr>
        <w:tabs>
          <w:tab w:val="left" w:pos="284"/>
          <w:tab w:val="left" w:pos="858"/>
        </w:tabs>
        <w:spacing w:after="120" w:line="360" w:lineRule="auto"/>
        <w:jc w:val="both"/>
        <w:rPr>
          <w:rFonts w:ascii="Arial" w:eastAsia="Arial" w:hAnsi="Arial" w:cs="Arial"/>
          <w:color w:val="010000"/>
          <w:sz w:val="20"/>
          <w:szCs w:val="20"/>
        </w:rPr>
      </w:pPr>
      <w:r w:rsidRPr="002D41FE">
        <w:rPr>
          <w:rFonts w:ascii="Arial" w:hAnsi="Arial" w:cs="Arial"/>
          <w:color w:val="010000"/>
          <w:sz w:val="20"/>
        </w:rPr>
        <w:t xml:space="preserve">Short-term line of credit: VND45,000,000,000, in which: Loan limit (including loan, payment guarantee, and opening L/C) at </w:t>
      </w:r>
      <w:r w:rsidR="00391EC2" w:rsidRPr="002D41FE">
        <w:rPr>
          <w:rFonts w:ascii="Arial" w:hAnsi="Arial" w:cs="Arial"/>
          <w:color w:val="010000"/>
          <w:sz w:val="20"/>
        </w:rPr>
        <w:t xml:space="preserve">a </w:t>
      </w:r>
      <w:r w:rsidRPr="002D41FE">
        <w:rPr>
          <w:rFonts w:ascii="Arial" w:hAnsi="Arial" w:cs="Arial"/>
          <w:color w:val="010000"/>
          <w:sz w:val="20"/>
        </w:rPr>
        <w:t>maximum of VND40,000,000,000; Guarantee limit (other than Payment Guarantee) is within the short-term line of credit mentioned above, maximum VND45,000,000,000.</w:t>
      </w:r>
    </w:p>
    <w:p w14:paraId="00000009" w14:textId="77777777" w:rsidR="001B4DAD" w:rsidRPr="002D41FE" w:rsidRDefault="007A2554" w:rsidP="00C50B05">
      <w:pPr>
        <w:numPr>
          <w:ilvl w:val="0"/>
          <w:numId w:val="1"/>
        </w:numPr>
        <w:pBdr>
          <w:top w:val="nil"/>
          <w:left w:val="nil"/>
          <w:bottom w:val="nil"/>
          <w:right w:val="nil"/>
          <w:between w:val="nil"/>
        </w:pBdr>
        <w:tabs>
          <w:tab w:val="left" w:pos="284"/>
          <w:tab w:val="left" w:pos="858"/>
        </w:tabs>
        <w:spacing w:after="120" w:line="360" w:lineRule="auto"/>
        <w:jc w:val="both"/>
        <w:rPr>
          <w:rFonts w:ascii="Arial" w:eastAsia="Arial" w:hAnsi="Arial" w:cs="Arial"/>
          <w:color w:val="010000"/>
          <w:sz w:val="20"/>
          <w:szCs w:val="20"/>
        </w:rPr>
      </w:pPr>
      <w:r w:rsidRPr="002D41FE">
        <w:rPr>
          <w:rFonts w:ascii="Arial" w:hAnsi="Arial" w:cs="Arial"/>
          <w:color w:val="010000"/>
          <w:sz w:val="20"/>
        </w:rPr>
        <w:t>Use purposes: Lending, issuing guarantees, and opening L/Cs for business activities.</w:t>
      </w:r>
    </w:p>
    <w:p w14:paraId="0000000A" w14:textId="77777777" w:rsidR="001B4DAD" w:rsidRPr="002D41FE" w:rsidRDefault="007A2554" w:rsidP="00C50B05">
      <w:pPr>
        <w:numPr>
          <w:ilvl w:val="0"/>
          <w:numId w:val="1"/>
        </w:numPr>
        <w:pBdr>
          <w:top w:val="nil"/>
          <w:left w:val="nil"/>
          <w:bottom w:val="nil"/>
          <w:right w:val="nil"/>
          <w:between w:val="nil"/>
        </w:pBdr>
        <w:tabs>
          <w:tab w:val="left" w:pos="284"/>
          <w:tab w:val="left" w:pos="867"/>
        </w:tabs>
        <w:spacing w:after="120" w:line="360" w:lineRule="auto"/>
        <w:jc w:val="both"/>
        <w:rPr>
          <w:rFonts w:ascii="Arial" w:eastAsia="Arial" w:hAnsi="Arial" w:cs="Arial"/>
          <w:color w:val="010000"/>
          <w:sz w:val="20"/>
          <w:szCs w:val="20"/>
        </w:rPr>
      </w:pPr>
      <w:r w:rsidRPr="002D41FE">
        <w:rPr>
          <w:rFonts w:ascii="Arial" w:hAnsi="Arial" w:cs="Arial"/>
          <w:color w:val="010000"/>
          <w:sz w:val="20"/>
        </w:rPr>
        <w:t>Line of credit term: 12 months from the date of signing the Line of Credit Contract</w:t>
      </w:r>
    </w:p>
    <w:p w14:paraId="0000000B" w14:textId="77777777" w:rsidR="001B4DAD" w:rsidRPr="002D41FE" w:rsidRDefault="007A2554" w:rsidP="00C50B05">
      <w:pPr>
        <w:numPr>
          <w:ilvl w:val="0"/>
          <w:numId w:val="1"/>
        </w:numPr>
        <w:pBdr>
          <w:top w:val="nil"/>
          <w:left w:val="nil"/>
          <w:bottom w:val="nil"/>
          <w:right w:val="nil"/>
          <w:between w:val="nil"/>
        </w:pBdr>
        <w:tabs>
          <w:tab w:val="left" w:pos="284"/>
          <w:tab w:val="left" w:pos="867"/>
        </w:tabs>
        <w:spacing w:after="120" w:line="360" w:lineRule="auto"/>
        <w:jc w:val="both"/>
        <w:rPr>
          <w:rFonts w:ascii="Arial" w:eastAsia="Arial" w:hAnsi="Arial" w:cs="Arial"/>
          <w:color w:val="010000"/>
          <w:sz w:val="20"/>
          <w:szCs w:val="20"/>
        </w:rPr>
      </w:pPr>
      <w:r w:rsidRPr="002D41FE">
        <w:rPr>
          <w:rFonts w:ascii="Arial" w:hAnsi="Arial" w:cs="Arial"/>
          <w:color w:val="010000"/>
          <w:sz w:val="20"/>
        </w:rPr>
        <w:t>Time for loan and guarantee: According to each specific short-term credit contract, specific guarantee issuance contract</w:t>
      </w:r>
    </w:p>
    <w:p w14:paraId="0000000C" w14:textId="77777777" w:rsidR="001B4DAD" w:rsidRPr="002D41FE" w:rsidRDefault="007A2554" w:rsidP="00C50B05">
      <w:pPr>
        <w:numPr>
          <w:ilvl w:val="0"/>
          <w:numId w:val="1"/>
        </w:numPr>
        <w:pBdr>
          <w:top w:val="nil"/>
          <w:left w:val="nil"/>
          <w:bottom w:val="nil"/>
          <w:right w:val="nil"/>
          <w:between w:val="nil"/>
        </w:pBdr>
        <w:tabs>
          <w:tab w:val="left" w:pos="284"/>
          <w:tab w:val="left" w:pos="846"/>
        </w:tabs>
        <w:spacing w:after="120" w:line="360" w:lineRule="auto"/>
        <w:jc w:val="both"/>
        <w:rPr>
          <w:rFonts w:ascii="Arial" w:eastAsia="Arial" w:hAnsi="Arial" w:cs="Arial"/>
          <w:color w:val="010000"/>
          <w:sz w:val="20"/>
          <w:szCs w:val="20"/>
        </w:rPr>
      </w:pPr>
      <w:r w:rsidRPr="002D41FE">
        <w:rPr>
          <w:rFonts w:ascii="Arial" w:hAnsi="Arial" w:cs="Arial"/>
          <w:color w:val="010000"/>
          <w:sz w:val="20"/>
        </w:rPr>
        <w:t>Interest rate, expense: According to the regulations of the Bank</w:t>
      </w:r>
    </w:p>
    <w:p w14:paraId="0000000D" w14:textId="77777777" w:rsidR="001B4DAD" w:rsidRPr="002D41FE" w:rsidRDefault="007A2554" w:rsidP="00C50B05">
      <w:pPr>
        <w:numPr>
          <w:ilvl w:val="0"/>
          <w:numId w:val="1"/>
        </w:numPr>
        <w:pBdr>
          <w:top w:val="nil"/>
          <w:left w:val="nil"/>
          <w:bottom w:val="nil"/>
          <w:right w:val="nil"/>
          <w:between w:val="nil"/>
        </w:pBdr>
        <w:tabs>
          <w:tab w:val="left" w:pos="284"/>
          <w:tab w:val="left" w:pos="846"/>
        </w:tabs>
        <w:spacing w:after="120" w:line="360" w:lineRule="auto"/>
        <w:jc w:val="both"/>
        <w:rPr>
          <w:rFonts w:ascii="Arial" w:eastAsia="Arial" w:hAnsi="Arial" w:cs="Arial"/>
          <w:color w:val="010000"/>
          <w:sz w:val="20"/>
          <w:szCs w:val="20"/>
        </w:rPr>
      </w:pPr>
      <w:r w:rsidRPr="002D41FE">
        <w:rPr>
          <w:rFonts w:ascii="Arial" w:hAnsi="Arial" w:cs="Arial"/>
          <w:color w:val="010000"/>
          <w:sz w:val="20"/>
        </w:rPr>
        <w:t xml:space="preserve"> During the loan process, the Company transfers realized revenue from using the loan of the Bank to the deposit account opened at the Bank; implements the conditions and regulations for borrowing capital at the Bank; uses the assets and legal sources of income of the Company and of members contributing capital at the Company such as contributed capital, receivables, economic contracts, etc. to ensure the source of debt repayment for the loan incurred at the Bank.</w:t>
      </w:r>
    </w:p>
    <w:p w14:paraId="0000000E" w14:textId="77777777" w:rsidR="001B4DAD" w:rsidRPr="002D41FE" w:rsidRDefault="007A2554" w:rsidP="00C50B05">
      <w:pPr>
        <w:numPr>
          <w:ilvl w:val="0"/>
          <w:numId w:val="1"/>
        </w:numPr>
        <w:pBdr>
          <w:top w:val="nil"/>
          <w:left w:val="nil"/>
          <w:bottom w:val="nil"/>
          <w:right w:val="nil"/>
          <w:between w:val="nil"/>
        </w:pBdr>
        <w:tabs>
          <w:tab w:val="left" w:pos="284"/>
          <w:tab w:val="left" w:pos="846"/>
        </w:tabs>
        <w:spacing w:after="120" w:line="360" w:lineRule="auto"/>
        <w:jc w:val="both"/>
        <w:rPr>
          <w:rFonts w:ascii="Arial" w:eastAsia="Arial" w:hAnsi="Arial" w:cs="Arial"/>
          <w:color w:val="010000"/>
          <w:sz w:val="20"/>
          <w:szCs w:val="20"/>
        </w:rPr>
      </w:pPr>
      <w:r w:rsidRPr="002D41FE">
        <w:rPr>
          <w:rFonts w:ascii="Arial" w:hAnsi="Arial" w:cs="Arial"/>
          <w:color w:val="010000"/>
          <w:sz w:val="20"/>
        </w:rPr>
        <w:t>Use assets as a secured measure:</w:t>
      </w:r>
    </w:p>
    <w:p w14:paraId="0000000F" w14:textId="77777777" w:rsidR="001B4DAD" w:rsidRPr="002D41FE" w:rsidRDefault="007A2554" w:rsidP="00C50B05">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2D41FE">
        <w:rPr>
          <w:rFonts w:ascii="Arial" w:hAnsi="Arial" w:cs="Arial"/>
          <w:color w:val="010000"/>
          <w:sz w:val="20"/>
        </w:rPr>
        <w:lastRenderedPageBreak/>
        <w:t xml:space="preserve">Use the assets of Construction And Industry Equipment Joint Stock Company - CIE1 and the assets of the third party in accordance with regulations to secure all obligations of Construction And Industry Equipment Joint Stock Company - CIE1 at Joint Stock Commercial Bank for Investment and Development of Vietnam - My </w:t>
      </w:r>
      <w:proofErr w:type="spellStart"/>
      <w:r w:rsidRPr="002D41FE">
        <w:rPr>
          <w:rFonts w:ascii="Arial" w:hAnsi="Arial" w:cs="Arial"/>
          <w:color w:val="010000"/>
          <w:sz w:val="20"/>
        </w:rPr>
        <w:t>Dinh</w:t>
      </w:r>
      <w:proofErr w:type="spellEnd"/>
      <w:r w:rsidRPr="002D41FE">
        <w:rPr>
          <w:rFonts w:ascii="Arial" w:hAnsi="Arial" w:cs="Arial"/>
          <w:color w:val="010000"/>
          <w:sz w:val="20"/>
        </w:rPr>
        <w:t xml:space="preserve"> Branch. During the credit relationship, the Company will supplement other collaterals of the Company and the third party enough to secure the credit needs granted according to the regulations of the Bank.</w:t>
      </w:r>
    </w:p>
    <w:p w14:paraId="00000010" w14:textId="77777777" w:rsidR="001B4DAD" w:rsidRPr="002D41FE" w:rsidRDefault="007A2554" w:rsidP="00C50B05">
      <w:pPr>
        <w:numPr>
          <w:ilvl w:val="0"/>
          <w:numId w:val="1"/>
        </w:numPr>
        <w:pBdr>
          <w:top w:val="nil"/>
          <w:left w:val="nil"/>
          <w:bottom w:val="nil"/>
          <w:right w:val="nil"/>
          <w:between w:val="nil"/>
        </w:pBdr>
        <w:tabs>
          <w:tab w:val="left" w:pos="284"/>
          <w:tab w:val="left" w:pos="846"/>
        </w:tabs>
        <w:spacing w:after="120" w:line="360" w:lineRule="auto"/>
        <w:jc w:val="both"/>
        <w:rPr>
          <w:rFonts w:ascii="Arial" w:eastAsia="Arial" w:hAnsi="Arial" w:cs="Arial"/>
          <w:color w:val="010000"/>
          <w:sz w:val="20"/>
          <w:szCs w:val="20"/>
        </w:rPr>
      </w:pPr>
      <w:r w:rsidRPr="002D41FE">
        <w:rPr>
          <w:rFonts w:ascii="Arial" w:hAnsi="Arial" w:cs="Arial"/>
          <w:color w:val="010000"/>
          <w:sz w:val="20"/>
        </w:rPr>
        <w:t>Appoint the representative of Construction And Industry Equipment Joint Stock Company - CIE1 to negotiate, approve, and sign contracts with the Bank.</w:t>
      </w:r>
    </w:p>
    <w:p w14:paraId="00000011" w14:textId="77777777" w:rsidR="001B4DAD" w:rsidRPr="002D41FE" w:rsidRDefault="007A2554" w:rsidP="00C50B05">
      <w:pPr>
        <w:pBdr>
          <w:top w:val="nil"/>
          <w:left w:val="nil"/>
          <w:bottom w:val="nil"/>
          <w:right w:val="nil"/>
          <w:between w:val="nil"/>
        </w:pBdr>
        <w:tabs>
          <w:tab w:val="left" w:pos="284"/>
          <w:tab w:val="left" w:pos="846"/>
        </w:tabs>
        <w:spacing w:after="120" w:line="360" w:lineRule="auto"/>
        <w:jc w:val="both"/>
        <w:rPr>
          <w:rFonts w:ascii="Arial" w:eastAsia="Arial" w:hAnsi="Arial" w:cs="Arial"/>
          <w:color w:val="010000"/>
          <w:sz w:val="20"/>
          <w:szCs w:val="20"/>
        </w:rPr>
      </w:pPr>
      <w:r w:rsidRPr="002D41FE">
        <w:rPr>
          <w:rFonts w:ascii="Arial" w:hAnsi="Arial" w:cs="Arial"/>
          <w:color w:val="010000"/>
          <w:sz w:val="20"/>
        </w:rPr>
        <w:t xml:space="preserve">Appoint Mr. Ta </w:t>
      </w:r>
      <w:proofErr w:type="spellStart"/>
      <w:r w:rsidRPr="002D41FE">
        <w:rPr>
          <w:rFonts w:ascii="Arial" w:hAnsi="Arial" w:cs="Arial"/>
          <w:color w:val="010000"/>
          <w:sz w:val="20"/>
        </w:rPr>
        <w:t>Dinh</w:t>
      </w:r>
      <w:proofErr w:type="spellEnd"/>
      <w:r w:rsidRPr="002D41FE">
        <w:rPr>
          <w:rFonts w:ascii="Arial" w:hAnsi="Arial" w:cs="Arial"/>
          <w:color w:val="010000"/>
          <w:sz w:val="20"/>
        </w:rPr>
        <w:t xml:space="preserve"> </w:t>
      </w:r>
      <w:proofErr w:type="spellStart"/>
      <w:r w:rsidRPr="002D41FE">
        <w:rPr>
          <w:rFonts w:ascii="Arial" w:hAnsi="Arial" w:cs="Arial"/>
          <w:color w:val="010000"/>
          <w:sz w:val="20"/>
        </w:rPr>
        <w:t>Lan</w:t>
      </w:r>
      <w:proofErr w:type="spellEnd"/>
      <w:r w:rsidRPr="002D41FE">
        <w:rPr>
          <w:rFonts w:ascii="Arial" w:hAnsi="Arial" w:cs="Arial"/>
          <w:color w:val="010000"/>
          <w:sz w:val="20"/>
        </w:rPr>
        <w:t xml:space="preserve"> (Citizen ID Card: 033071001645, date of issue: May 05, 2021, place of issue: The Police Department for Administrative Management of Social Order) currently holding the position of the General Manager of the Company-cum-legal representative of Construction And Industry Equipment Joint Stock Company - CIE1 to: Negotiate, approve, sign, and implement contracts and documents related to loan, payment guarantees, other guarantees, opening L/C; mortgaging, pledging assets at the Bank including but not limited to: Loan application; Application for issuance of payment guarantee, opening L/C; Line of credit contract; Guarantee issuance contract; specific List of capital withdrawal/credit contract; Disbursement request; List of disbursement plan; Asset mortgage contract; Application for secured transaction; Minutes of handover of documents and papers related to each disbursement/each mortgage of assets; Minutes of asset valuation; documents amending the above documents and other related documents, etc.</w:t>
      </w:r>
    </w:p>
    <w:p w14:paraId="00000012" w14:textId="77777777" w:rsidR="001B4DAD" w:rsidRPr="002D41FE" w:rsidRDefault="007A2554" w:rsidP="00C50B05">
      <w:pPr>
        <w:numPr>
          <w:ilvl w:val="0"/>
          <w:numId w:val="1"/>
        </w:numPr>
        <w:pBdr>
          <w:top w:val="nil"/>
          <w:left w:val="nil"/>
          <w:bottom w:val="nil"/>
          <w:right w:val="nil"/>
          <w:between w:val="nil"/>
        </w:pBdr>
        <w:tabs>
          <w:tab w:val="left" w:pos="284"/>
          <w:tab w:val="left" w:pos="846"/>
        </w:tabs>
        <w:spacing w:after="120" w:line="360" w:lineRule="auto"/>
        <w:jc w:val="both"/>
        <w:rPr>
          <w:rFonts w:ascii="Arial" w:eastAsia="Arial" w:hAnsi="Arial" w:cs="Arial"/>
          <w:color w:val="010000"/>
          <w:sz w:val="20"/>
          <w:szCs w:val="20"/>
        </w:rPr>
      </w:pPr>
      <w:r w:rsidRPr="002D41FE">
        <w:rPr>
          <w:rFonts w:ascii="Arial" w:hAnsi="Arial" w:cs="Arial"/>
          <w:color w:val="010000"/>
          <w:sz w:val="20"/>
        </w:rPr>
        <w:t xml:space="preserve">Mr. Ta </w:t>
      </w:r>
      <w:proofErr w:type="spellStart"/>
      <w:r w:rsidRPr="002D41FE">
        <w:rPr>
          <w:rFonts w:ascii="Arial" w:hAnsi="Arial" w:cs="Arial"/>
          <w:color w:val="010000"/>
          <w:sz w:val="20"/>
        </w:rPr>
        <w:t>Dinh</w:t>
      </w:r>
      <w:proofErr w:type="spellEnd"/>
      <w:r w:rsidRPr="002D41FE">
        <w:rPr>
          <w:rFonts w:ascii="Arial" w:hAnsi="Arial" w:cs="Arial"/>
          <w:color w:val="010000"/>
          <w:sz w:val="20"/>
        </w:rPr>
        <w:t xml:space="preserve"> </w:t>
      </w:r>
      <w:proofErr w:type="spellStart"/>
      <w:proofErr w:type="gramStart"/>
      <w:r w:rsidRPr="002D41FE">
        <w:rPr>
          <w:rFonts w:ascii="Arial" w:hAnsi="Arial" w:cs="Arial"/>
          <w:color w:val="010000"/>
          <w:sz w:val="20"/>
        </w:rPr>
        <w:t>Lan</w:t>
      </w:r>
      <w:proofErr w:type="spellEnd"/>
      <w:proofErr w:type="gramEnd"/>
      <w:r w:rsidRPr="002D41FE">
        <w:rPr>
          <w:rFonts w:ascii="Arial" w:hAnsi="Arial" w:cs="Arial"/>
          <w:color w:val="010000"/>
          <w:sz w:val="20"/>
        </w:rPr>
        <w:t xml:space="preserve"> is entitled to authorize other individuals according to the regulations of the Charter and internal regulations on corporate governance of Construction And Industry Equipment Joint Stock Company - CIE1 to represent the Company in implementing the above tasks. This authorization is prepared in a separate document.</w:t>
      </w:r>
    </w:p>
    <w:p w14:paraId="00000013" w14:textId="29EA2EBF" w:rsidR="001B4DAD" w:rsidRPr="002D41FE" w:rsidRDefault="007A2554" w:rsidP="00C50B05">
      <w:pPr>
        <w:numPr>
          <w:ilvl w:val="0"/>
          <w:numId w:val="1"/>
        </w:numPr>
        <w:pBdr>
          <w:top w:val="nil"/>
          <w:left w:val="nil"/>
          <w:bottom w:val="nil"/>
          <w:right w:val="nil"/>
          <w:between w:val="nil"/>
        </w:pBdr>
        <w:tabs>
          <w:tab w:val="left" w:pos="284"/>
          <w:tab w:val="left" w:pos="846"/>
        </w:tabs>
        <w:spacing w:after="120" w:line="360" w:lineRule="auto"/>
        <w:jc w:val="both"/>
        <w:rPr>
          <w:rFonts w:ascii="Arial" w:eastAsia="Arial" w:hAnsi="Arial" w:cs="Arial"/>
          <w:color w:val="010000"/>
          <w:sz w:val="20"/>
          <w:szCs w:val="20"/>
        </w:rPr>
      </w:pPr>
      <w:r w:rsidRPr="002D41FE">
        <w:rPr>
          <w:rFonts w:ascii="Arial" w:hAnsi="Arial" w:cs="Arial"/>
          <w:color w:val="010000"/>
          <w:sz w:val="20"/>
        </w:rPr>
        <w:t xml:space="preserve">The Board of Directors of the Company is responsible for all documents, </w:t>
      </w:r>
      <w:r w:rsidR="00432DE0" w:rsidRPr="002D41FE">
        <w:rPr>
          <w:rFonts w:ascii="Arial" w:hAnsi="Arial" w:cs="Arial"/>
          <w:color w:val="010000"/>
          <w:sz w:val="20"/>
        </w:rPr>
        <w:t xml:space="preserve">and </w:t>
      </w:r>
      <w:r w:rsidRPr="002D41FE">
        <w:rPr>
          <w:rFonts w:ascii="Arial" w:hAnsi="Arial" w:cs="Arial"/>
          <w:color w:val="010000"/>
          <w:sz w:val="20"/>
        </w:rPr>
        <w:t xml:space="preserve">contracts signed by Mr. Ta </w:t>
      </w:r>
      <w:proofErr w:type="spellStart"/>
      <w:r w:rsidRPr="002D41FE">
        <w:rPr>
          <w:rFonts w:ascii="Arial" w:hAnsi="Arial" w:cs="Arial"/>
          <w:color w:val="010000"/>
          <w:sz w:val="20"/>
        </w:rPr>
        <w:t>Dinh</w:t>
      </w:r>
      <w:proofErr w:type="spellEnd"/>
      <w:r w:rsidRPr="002D41FE">
        <w:rPr>
          <w:rFonts w:ascii="Arial" w:hAnsi="Arial" w:cs="Arial"/>
          <w:color w:val="010000"/>
          <w:sz w:val="20"/>
        </w:rPr>
        <w:t xml:space="preserve"> </w:t>
      </w:r>
      <w:proofErr w:type="spellStart"/>
      <w:proofErr w:type="gramStart"/>
      <w:r w:rsidRPr="002D41FE">
        <w:rPr>
          <w:rFonts w:ascii="Arial" w:hAnsi="Arial" w:cs="Arial"/>
          <w:color w:val="010000"/>
          <w:sz w:val="20"/>
        </w:rPr>
        <w:t>Lan</w:t>
      </w:r>
      <w:proofErr w:type="spellEnd"/>
      <w:proofErr w:type="gramEnd"/>
      <w:r w:rsidRPr="002D41FE">
        <w:rPr>
          <w:rFonts w:ascii="Arial" w:hAnsi="Arial" w:cs="Arial"/>
          <w:color w:val="010000"/>
          <w:sz w:val="20"/>
        </w:rPr>
        <w:t xml:space="preserve"> or the person authorized by Mr. Ta </w:t>
      </w:r>
      <w:proofErr w:type="spellStart"/>
      <w:r w:rsidRPr="002D41FE">
        <w:rPr>
          <w:rFonts w:ascii="Arial" w:hAnsi="Arial" w:cs="Arial"/>
          <w:color w:val="010000"/>
          <w:sz w:val="20"/>
        </w:rPr>
        <w:t>Dinh</w:t>
      </w:r>
      <w:proofErr w:type="spellEnd"/>
      <w:r w:rsidRPr="002D41FE">
        <w:rPr>
          <w:rFonts w:ascii="Arial" w:hAnsi="Arial" w:cs="Arial"/>
          <w:color w:val="010000"/>
          <w:sz w:val="20"/>
        </w:rPr>
        <w:t xml:space="preserve"> </w:t>
      </w:r>
      <w:proofErr w:type="spellStart"/>
      <w:r w:rsidRPr="002D41FE">
        <w:rPr>
          <w:rFonts w:ascii="Arial" w:hAnsi="Arial" w:cs="Arial"/>
          <w:color w:val="010000"/>
          <w:sz w:val="20"/>
        </w:rPr>
        <w:t>Lan</w:t>
      </w:r>
      <w:proofErr w:type="spellEnd"/>
      <w:r w:rsidRPr="002D41FE">
        <w:rPr>
          <w:rFonts w:ascii="Arial" w:hAnsi="Arial" w:cs="Arial"/>
          <w:color w:val="010000"/>
          <w:sz w:val="20"/>
        </w:rPr>
        <w:t xml:space="preserve"> to represent Construction And Industry Equipment Joint Stock Company - CIE1 with the Bank in accordance with the contents mentioned in this Resolution. In case the Company changes the Nominee, the Company is responsible for promptly notifying the Bank in writing of the above change of the Nominee.</w:t>
      </w:r>
    </w:p>
    <w:p w14:paraId="00000014" w14:textId="13C57819" w:rsidR="001B4DAD" w:rsidRPr="002D41FE" w:rsidRDefault="007A2554" w:rsidP="00C50B05">
      <w:pPr>
        <w:pBdr>
          <w:top w:val="nil"/>
          <w:left w:val="nil"/>
          <w:bottom w:val="nil"/>
          <w:right w:val="nil"/>
          <w:between w:val="nil"/>
        </w:pBdr>
        <w:tabs>
          <w:tab w:val="left" w:pos="284"/>
          <w:tab w:val="left" w:pos="632"/>
        </w:tabs>
        <w:spacing w:after="120" w:line="360" w:lineRule="auto"/>
        <w:jc w:val="both"/>
        <w:rPr>
          <w:rFonts w:ascii="Arial" w:eastAsia="Arial" w:hAnsi="Arial" w:cs="Arial"/>
          <w:color w:val="010000"/>
          <w:sz w:val="20"/>
          <w:szCs w:val="20"/>
        </w:rPr>
      </w:pPr>
      <w:r w:rsidRPr="002D41FE">
        <w:rPr>
          <w:rFonts w:ascii="Arial" w:hAnsi="Arial" w:cs="Arial"/>
          <w:color w:val="010000"/>
          <w:sz w:val="20"/>
        </w:rPr>
        <w:t>3</w:t>
      </w:r>
      <w:r w:rsidR="00432DE0" w:rsidRPr="002D41FE">
        <w:rPr>
          <w:rFonts w:ascii="Arial" w:hAnsi="Arial" w:cs="Arial"/>
          <w:color w:val="010000"/>
          <w:sz w:val="20"/>
        </w:rPr>
        <w:t>) Approve the R</w:t>
      </w:r>
      <w:r w:rsidRPr="002D41FE">
        <w:rPr>
          <w:rFonts w:ascii="Arial" w:hAnsi="Arial" w:cs="Arial"/>
          <w:color w:val="010000"/>
          <w:sz w:val="20"/>
        </w:rPr>
        <w:t>eport of the General Manager on the policy of implementing investment in the construction and renovation of the fire prevention and fighting system according to the Certificate for Fire Protection Design Approval of the Fire and Rescue Police of Hanoi City Police. The General Manager will report on the specific implementation plan and funding source. Collect the opinions of the Board of Directors via a ballot:</w:t>
      </w:r>
    </w:p>
    <w:p w14:paraId="00000015" w14:textId="199D2037" w:rsidR="001B4DAD" w:rsidRPr="002D41FE" w:rsidRDefault="007A2554" w:rsidP="00C50B05">
      <w:pPr>
        <w:pBdr>
          <w:top w:val="nil"/>
          <w:left w:val="nil"/>
          <w:bottom w:val="nil"/>
          <w:right w:val="nil"/>
          <w:between w:val="nil"/>
        </w:pBdr>
        <w:tabs>
          <w:tab w:val="left" w:pos="284"/>
          <w:tab w:val="left" w:pos="632"/>
        </w:tabs>
        <w:spacing w:after="120" w:line="360" w:lineRule="auto"/>
        <w:jc w:val="both"/>
        <w:rPr>
          <w:rFonts w:ascii="Arial" w:eastAsia="Arial" w:hAnsi="Arial" w:cs="Arial"/>
          <w:color w:val="010000"/>
          <w:sz w:val="20"/>
          <w:szCs w:val="20"/>
        </w:rPr>
      </w:pPr>
      <w:r w:rsidRPr="002D41FE">
        <w:rPr>
          <w:rFonts w:ascii="Arial" w:hAnsi="Arial" w:cs="Arial"/>
          <w:color w:val="010000"/>
          <w:sz w:val="20"/>
        </w:rPr>
        <w:t xml:space="preserve">4) Assign the General Manager of the Company to be responsible for and direct the implementation, </w:t>
      </w:r>
      <w:r w:rsidR="00432DE0" w:rsidRPr="002D41FE">
        <w:rPr>
          <w:rFonts w:ascii="Arial" w:hAnsi="Arial" w:cs="Arial"/>
          <w:color w:val="010000"/>
          <w:sz w:val="20"/>
        </w:rPr>
        <w:t xml:space="preserve">and </w:t>
      </w:r>
      <w:r w:rsidRPr="002D41FE">
        <w:rPr>
          <w:rFonts w:ascii="Arial" w:hAnsi="Arial" w:cs="Arial"/>
          <w:color w:val="010000"/>
          <w:sz w:val="20"/>
        </w:rPr>
        <w:t>report to the Board of Directors on the implementation results and/or incurred issues exceeding the authority (if any).</w:t>
      </w:r>
    </w:p>
    <w:p w14:paraId="00000016" w14:textId="77777777" w:rsidR="001B4DAD" w:rsidRPr="002D41FE" w:rsidRDefault="007A2554" w:rsidP="00C50B05">
      <w:pPr>
        <w:pBdr>
          <w:top w:val="nil"/>
          <w:left w:val="nil"/>
          <w:bottom w:val="nil"/>
          <w:right w:val="nil"/>
          <w:between w:val="nil"/>
        </w:pBdr>
        <w:tabs>
          <w:tab w:val="left" w:pos="284"/>
          <w:tab w:val="left" w:pos="632"/>
        </w:tabs>
        <w:spacing w:after="120" w:line="360" w:lineRule="auto"/>
        <w:jc w:val="both"/>
        <w:rPr>
          <w:rFonts w:ascii="Arial" w:eastAsia="Arial" w:hAnsi="Arial" w:cs="Arial"/>
          <w:color w:val="010000"/>
          <w:sz w:val="20"/>
          <w:szCs w:val="20"/>
        </w:rPr>
      </w:pPr>
      <w:r w:rsidRPr="002D41FE">
        <w:rPr>
          <w:rFonts w:ascii="Arial" w:hAnsi="Arial" w:cs="Arial"/>
          <w:color w:val="010000"/>
          <w:sz w:val="20"/>
        </w:rPr>
        <w:t xml:space="preserve">5) Approve the content of the Liquidation of Fixed Assets. The General Manager of the Company is responsible for and directs the implementation of the liquidation of assets in accordance with the </w:t>
      </w:r>
      <w:r w:rsidRPr="002D41FE">
        <w:rPr>
          <w:rFonts w:ascii="Arial" w:hAnsi="Arial" w:cs="Arial"/>
          <w:color w:val="010000"/>
          <w:sz w:val="20"/>
        </w:rPr>
        <w:lastRenderedPageBreak/>
        <w:t>regulations and the Company's Charter, and report to the Board of Directors on the implementation results.</w:t>
      </w:r>
    </w:p>
    <w:p w14:paraId="00000017" w14:textId="483A46B0" w:rsidR="001B4DAD" w:rsidRPr="002D41FE" w:rsidRDefault="007A2554" w:rsidP="00C50B05">
      <w:pPr>
        <w:pBdr>
          <w:top w:val="nil"/>
          <w:left w:val="nil"/>
          <w:bottom w:val="nil"/>
          <w:right w:val="nil"/>
          <w:between w:val="nil"/>
        </w:pBdr>
        <w:tabs>
          <w:tab w:val="left" w:pos="284"/>
          <w:tab w:val="left" w:pos="577"/>
        </w:tabs>
        <w:spacing w:after="120" w:line="360" w:lineRule="auto"/>
        <w:jc w:val="both"/>
        <w:rPr>
          <w:rFonts w:ascii="Arial" w:eastAsia="Arial" w:hAnsi="Arial" w:cs="Arial"/>
          <w:color w:val="010000"/>
          <w:sz w:val="20"/>
          <w:szCs w:val="20"/>
        </w:rPr>
      </w:pPr>
      <w:r w:rsidRPr="002D41FE">
        <w:rPr>
          <w:rFonts w:ascii="Arial" w:hAnsi="Arial" w:cs="Arial"/>
          <w:color w:val="010000"/>
          <w:sz w:val="20"/>
        </w:rPr>
        <w:t>6) Expected selection of the audit company for the Financial Statements 2024: CPA Vietnam Auditing Company Limited. Assign the General Manager to coordinate with the Supervisory Board to discuss the proposed audit costs, report to the Standing Committee of the Board of Directors for consideration and decision</w:t>
      </w:r>
      <w:r w:rsidR="00432DE0" w:rsidRPr="002D41FE">
        <w:rPr>
          <w:rFonts w:ascii="Arial" w:hAnsi="Arial" w:cs="Arial"/>
          <w:color w:val="010000"/>
          <w:sz w:val="20"/>
        </w:rPr>
        <w:t>. A</w:t>
      </w:r>
      <w:r w:rsidRPr="002D41FE">
        <w:rPr>
          <w:rFonts w:ascii="Arial" w:hAnsi="Arial" w:cs="Arial"/>
          <w:color w:val="010000"/>
          <w:sz w:val="20"/>
        </w:rPr>
        <w:t xml:space="preserve">uthorize the Chair of the Board of Directors (Standing </w:t>
      </w:r>
      <w:r w:rsidR="00432DE0" w:rsidRPr="002D41FE">
        <w:rPr>
          <w:rFonts w:ascii="Arial" w:hAnsi="Arial" w:cs="Arial"/>
          <w:color w:val="010000"/>
          <w:sz w:val="20"/>
        </w:rPr>
        <w:t xml:space="preserve">Committee of </w:t>
      </w:r>
      <w:r w:rsidRPr="002D41FE">
        <w:rPr>
          <w:rFonts w:ascii="Arial" w:hAnsi="Arial" w:cs="Arial"/>
          <w:color w:val="010000"/>
          <w:sz w:val="20"/>
        </w:rPr>
        <w:t>the Board of Directors) to decide on the selection of another audit company (among the 3 audit companies approved by the General Meeting of Shareholders 2024).</w:t>
      </w:r>
    </w:p>
    <w:p w14:paraId="00000018" w14:textId="36AED7EE" w:rsidR="001B4DAD" w:rsidRPr="002D41FE" w:rsidRDefault="007A2554" w:rsidP="00C50B05">
      <w:pPr>
        <w:pBdr>
          <w:top w:val="nil"/>
          <w:left w:val="nil"/>
          <w:bottom w:val="nil"/>
          <w:right w:val="nil"/>
          <w:between w:val="nil"/>
        </w:pBdr>
        <w:tabs>
          <w:tab w:val="left" w:pos="284"/>
          <w:tab w:val="left" w:pos="577"/>
        </w:tabs>
        <w:spacing w:after="120" w:line="360" w:lineRule="auto"/>
        <w:jc w:val="both"/>
        <w:rPr>
          <w:rFonts w:ascii="Arial" w:eastAsia="Arial" w:hAnsi="Arial" w:cs="Arial"/>
          <w:color w:val="010000"/>
          <w:sz w:val="20"/>
          <w:szCs w:val="20"/>
        </w:rPr>
      </w:pPr>
      <w:r w:rsidRPr="002D41FE">
        <w:rPr>
          <w:rFonts w:ascii="Arial" w:hAnsi="Arial" w:cs="Arial"/>
          <w:color w:val="010000"/>
          <w:sz w:val="20"/>
        </w:rPr>
        <w:t>7) Approve and assign the Standing Committee of the Board of Directors to direct the Board of Management of Construction And Industry Equipment Joint Stock Company - CIE1 to coordinate with Construction and Industry Equipment Group Corporation to continue to implement the work of arranging and restructuring the organization, governance, and operations of Construction And Industry Equipment Joint Stock Company - CIE1 according to Extraordinary General Mandates 2024 and Annual General Mandates 2024.</w:t>
      </w:r>
    </w:p>
    <w:p w14:paraId="00000019" w14:textId="27D666E0" w:rsidR="001B4DAD" w:rsidRPr="002D41FE" w:rsidRDefault="007A2554" w:rsidP="00C50B05">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2D41FE">
        <w:rPr>
          <w:rFonts w:ascii="Arial" w:hAnsi="Arial" w:cs="Arial"/>
          <w:color w:val="010000"/>
          <w:sz w:val="20"/>
        </w:rPr>
        <w:t>‎‎Article 2. The General Manager of the Company is responsible for organizing the implementation on the spirit of this Resolution, reporting to the Standing Committee of the Board of Directors to consider and decide on issues arising and/or exceeding authority.</w:t>
      </w:r>
    </w:p>
    <w:p w14:paraId="0000001A" w14:textId="77777777" w:rsidR="001B4DAD" w:rsidRPr="002D41FE" w:rsidRDefault="007A2554" w:rsidP="00C50B05">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2D41FE">
        <w:rPr>
          <w:rFonts w:ascii="Arial" w:hAnsi="Arial" w:cs="Arial"/>
          <w:color w:val="010000"/>
          <w:sz w:val="20"/>
        </w:rPr>
        <w:t>‎‎Article 3. Approve on assigning and authorizing the Chair of the Board of Directors to represent the Board of Directors in signing and promulgating Resolutions/Decisions on relevant contents mentioned in Article 1 of this Resolution.</w:t>
      </w:r>
    </w:p>
    <w:p w14:paraId="0000001B" w14:textId="77777777" w:rsidR="001B4DAD" w:rsidRPr="002D41FE" w:rsidRDefault="007A2554" w:rsidP="00C50B05">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2D41FE">
        <w:rPr>
          <w:rFonts w:ascii="Arial" w:hAnsi="Arial" w:cs="Arial"/>
          <w:color w:val="010000"/>
          <w:sz w:val="20"/>
        </w:rPr>
        <w:t>‎‎Article 4. Members of the Board of Directors, the General Manager, the Board of Management; relevant units and individuals are responsible for implementing this Resolution.</w:t>
      </w:r>
    </w:p>
    <w:p w14:paraId="0000001C" w14:textId="77777777" w:rsidR="001B4DAD" w:rsidRPr="002D41FE" w:rsidRDefault="007A2554" w:rsidP="00C50B05">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2D41FE">
        <w:rPr>
          <w:rFonts w:ascii="Arial" w:hAnsi="Arial" w:cs="Arial"/>
          <w:color w:val="010000"/>
          <w:sz w:val="20"/>
        </w:rPr>
        <w:t>This Resolution takes effect from the date of its signing.</w:t>
      </w:r>
    </w:p>
    <w:sectPr w:rsidR="001B4DAD" w:rsidRPr="002D41FE" w:rsidSect="002D41FE">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F1E74"/>
    <w:multiLevelType w:val="multilevel"/>
    <w:tmpl w:val="17B8309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D1F6B0C"/>
    <w:multiLevelType w:val="hybridMultilevel"/>
    <w:tmpl w:val="D3FADCEC"/>
    <w:lvl w:ilvl="0" w:tplc="9AE4B63C">
      <w:start w:val="1"/>
      <w:numFmt w:val="bullet"/>
      <w:lvlText w:val=""/>
      <w:lvlJc w:val="left"/>
      <w:pPr>
        <w:ind w:left="720" w:hanging="360"/>
      </w:pPr>
      <w:rPr>
        <w:rFonts w:ascii="Symbol" w:hAnsi="Symbol" w:hint="default"/>
        <w:b w:val="0"/>
        <w:i w:val="0"/>
        <w:sz w:val="20"/>
      </w:rPr>
    </w:lvl>
    <w:lvl w:ilvl="1" w:tplc="666E17FA" w:tentative="1">
      <w:start w:val="1"/>
      <w:numFmt w:val="bullet"/>
      <w:lvlText w:val="o"/>
      <w:lvlJc w:val="left"/>
      <w:pPr>
        <w:ind w:left="1440" w:hanging="360"/>
      </w:pPr>
      <w:rPr>
        <w:rFonts w:ascii="Courier New" w:hAnsi="Courier New" w:cs="Courier New" w:hint="default"/>
        <w:b w:val="0"/>
        <w:i w:val="0"/>
        <w:sz w:val="20"/>
      </w:rPr>
    </w:lvl>
    <w:lvl w:ilvl="2" w:tplc="F1DC3738"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AD"/>
    <w:rsid w:val="001B4DAD"/>
    <w:rsid w:val="002D41FE"/>
    <w:rsid w:val="00391EC2"/>
    <w:rsid w:val="00432DE0"/>
    <w:rsid w:val="007A2554"/>
    <w:rsid w:val="00C50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B0517"/>
  <w15:docId w15:val="{4E9F42A7-DB38-46A7-A34F-76D71F6E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0"/>
      <w:szCs w:val="1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strike w:val="0"/>
      <w:sz w:val="12"/>
      <w:szCs w:val="1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paragraph" w:styleId="BodyText">
    <w:name w:val="Body Text"/>
    <w:basedOn w:val="Normal"/>
    <w:link w:val="BodyTextChar"/>
    <w:qFormat/>
    <w:pPr>
      <w:spacing w:line="276" w:lineRule="auto"/>
    </w:pPr>
    <w:rPr>
      <w:rFonts w:ascii="Times New Roman" w:eastAsia="Times New Roman" w:hAnsi="Times New Roman" w:cs="Times New Roman"/>
    </w:rPr>
  </w:style>
  <w:style w:type="paragraph" w:customStyle="1" w:styleId="Bodytext30">
    <w:name w:val="Body text (3)"/>
    <w:basedOn w:val="Normal"/>
    <w:link w:val="Bodytext3"/>
    <w:pPr>
      <w:spacing w:line="221" w:lineRule="auto"/>
      <w:jc w:val="center"/>
    </w:pPr>
    <w:rPr>
      <w:rFonts w:ascii="Arial" w:eastAsia="Arial" w:hAnsi="Arial" w:cs="Arial"/>
    </w:rPr>
  </w:style>
  <w:style w:type="paragraph" w:customStyle="1" w:styleId="Bodytext20">
    <w:name w:val="Body text (2)"/>
    <w:basedOn w:val="Normal"/>
    <w:link w:val="Bodytext2"/>
    <w:pPr>
      <w:spacing w:line="230" w:lineRule="auto"/>
    </w:pPr>
    <w:rPr>
      <w:rFonts w:ascii="Arial" w:eastAsia="Arial" w:hAnsi="Arial" w:cs="Arial"/>
      <w:sz w:val="10"/>
      <w:szCs w:val="10"/>
    </w:rPr>
  </w:style>
  <w:style w:type="paragraph" w:customStyle="1" w:styleId="Bodytext40">
    <w:name w:val="Body text (4)"/>
    <w:basedOn w:val="Normal"/>
    <w:link w:val="Bodytext4"/>
    <w:pPr>
      <w:spacing w:line="230" w:lineRule="auto"/>
    </w:pPr>
    <w:rPr>
      <w:rFonts w:ascii="Arial" w:eastAsia="Arial" w:hAnsi="Arial" w:cs="Arial"/>
      <w:smallCaps/>
      <w:sz w:val="12"/>
      <w:szCs w:val="12"/>
    </w:rPr>
  </w:style>
  <w:style w:type="paragraph" w:customStyle="1" w:styleId="Heading11">
    <w:name w:val="Heading #1"/>
    <w:basedOn w:val="Normal"/>
    <w:link w:val="Heading10"/>
    <w:pPr>
      <w:spacing w:line="252" w:lineRule="auto"/>
      <w:outlineLvl w:val="0"/>
    </w:pPr>
    <w:rPr>
      <w:rFonts w:ascii="Times New Roman" w:eastAsia="Times New Roman" w:hAnsi="Times New Roman" w:cs="Times New Roman"/>
      <w:b/>
      <w:bC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91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AgBCS5ycAMZomHNLRMXEXtLlA==">CgMxLjA4AHIhMWhhSFl5bG1PMDUzWG90TUNyMjVhTGdwWGQwZ01aUnBu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1234</Words>
  <Characters>6783</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2024-09-26T03:29:00Z</dcterms:created>
  <dcterms:modified xsi:type="dcterms:W3CDTF">2024-09-27T03:42:00Z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22893dc904f362306503d53644d1a6a3cb16128c5f8138cd3f0769dc0afde88e</vt:lpwstr>
  </property>
</Properties>
</file>