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CC14B7">
        <w:rPr>
          <w:rFonts w:ascii="Arial" w:hAnsi="Arial" w:cs="Arial"/>
          <w:b/>
          <w:color w:val="010000"/>
          <w:sz w:val="20"/>
        </w:rPr>
        <w:t>PAP: Extraordinary General Mandate 2024</w:t>
      </w:r>
    </w:p>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On September 23, 2024, Petro Vietnam Phuoc An Port Investment &amp; Operation Joint Stock Company announced General Mandate No. 84/NQ-PAP as follows:</w:t>
      </w:r>
    </w:p>
    <w:p w:rsidR="001B0CE9" w:rsidRPr="00CC14B7" w:rsidRDefault="00CC14B7" w:rsidP="00CC14B7">
      <w:pPr>
        <w:pBdr>
          <w:top w:val="nil"/>
          <w:left w:val="nil"/>
          <w:bottom w:val="nil"/>
          <w:right w:val="nil"/>
          <w:between w:val="nil"/>
        </w:pBdr>
        <w:tabs>
          <w:tab w:val="left" w:pos="432"/>
          <w:tab w:val="left" w:pos="9412"/>
        </w:tabs>
        <w:spacing w:after="120" w:line="360" w:lineRule="auto"/>
        <w:rPr>
          <w:rFonts w:ascii="Arial" w:eastAsia="Arial" w:hAnsi="Arial" w:cs="Arial"/>
          <w:color w:val="010000"/>
          <w:sz w:val="20"/>
          <w:szCs w:val="20"/>
        </w:rPr>
      </w:pPr>
      <w:r w:rsidRPr="00CC14B7">
        <w:rPr>
          <w:rFonts w:ascii="Arial" w:hAnsi="Arial" w:cs="Arial"/>
          <w:color w:val="010000"/>
          <w:sz w:val="20"/>
        </w:rPr>
        <w:t>Article 1: Approve the adjustment and change of the plan on using capital of the capital increase from VND2,000 billion to VND2,320 billion, specifically as follows:</w:t>
      </w:r>
    </w:p>
    <w:p w:rsidR="001B0CE9" w:rsidRPr="00CC14B7" w:rsidRDefault="00CC14B7" w:rsidP="00CC14B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C14B7">
        <w:rPr>
          <w:rFonts w:ascii="Arial" w:hAnsi="Arial" w:cs="Arial"/>
          <w:color w:val="010000"/>
          <w:sz w:val="20"/>
        </w:rPr>
        <w:t>Plan on using capital before change</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4"/>
        <w:gridCol w:w="5275"/>
        <w:gridCol w:w="1989"/>
        <w:gridCol w:w="1219"/>
      </w:tblGrid>
      <w:tr w:rsidR="001B0CE9" w:rsidRPr="00CC14B7" w:rsidTr="00CC14B7">
        <w:tc>
          <w:tcPr>
            <w:tcW w:w="296"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 xml:space="preserve">No. </w:t>
            </w:r>
          </w:p>
        </w:tc>
        <w:tc>
          <w:tcPr>
            <w:tcW w:w="2925"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Bidding package name</w:t>
            </w:r>
          </w:p>
        </w:tc>
        <w:tc>
          <w:tcPr>
            <w:tcW w:w="1103"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Value (VND)</w:t>
            </w:r>
          </w:p>
        </w:tc>
        <w:tc>
          <w:tcPr>
            <w:tcW w:w="676"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Note</w:t>
            </w:r>
          </w:p>
        </w:tc>
      </w:tr>
      <w:tr w:rsidR="001B0CE9" w:rsidRPr="00CC14B7" w:rsidTr="00CC14B7">
        <w:tc>
          <w:tcPr>
            <w:tcW w:w="296"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1</w:t>
            </w:r>
          </w:p>
        </w:tc>
        <w:tc>
          <w:tcPr>
            <w:tcW w:w="2925"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XL02 package: Implement construction of wharves, embankments to protect the shore, roads, internal bridges, water supply and drainage, electrical systems and auxiliary works - Phuoc An Port (Phase 1)</w:t>
            </w:r>
          </w:p>
        </w:tc>
        <w:tc>
          <w:tcPr>
            <w:tcW w:w="1103"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299,324,480,000</w:t>
            </w:r>
          </w:p>
        </w:tc>
        <w:tc>
          <w:tcPr>
            <w:tcW w:w="676" w:type="pct"/>
            <w:shd w:val="clear" w:color="auto" w:fill="auto"/>
            <w:tcMar>
              <w:top w:w="0" w:type="dxa"/>
              <w:bottom w:w="0" w:type="dxa"/>
            </w:tcMar>
            <w:vAlign w:val="center"/>
          </w:tcPr>
          <w:p w:rsidR="001B0CE9" w:rsidRPr="00CC14B7" w:rsidRDefault="001B0CE9" w:rsidP="00CC14B7">
            <w:pPr>
              <w:tabs>
                <w:tab w:val="left" w:pos="432"/>
              </w:tabs>
              <w:spacing w:after="120" w:line="360" w:lineRule="auto"/>
              <w:rPr>
                <w:rFonts w:ascii="Arial" w:eastAsia="Arial" w:hAnsi="Arial" w:cs="Arial"/>
                <w:color w:val="010000"/>
                <w:sz w:val="20"/>
                <w:szCs w:val="20"/>
              </w:rPr>
            </w:pPr>
          </w:p>
        </w:tc>
      </w:tr>
      <w:tr w:rsidR="001B0CE9" w:rsidRPr="00CC14B7" w:rsidTr="00CC14B7">
        <w:tc>
          <w:tcPr>
            <w:tcW w:w="296"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2</w:t>
            </w:r>
          </w:p>
        </w:tc>
        <w:tc>
          <w:tcPr>
            <w:tcW w:w="2925"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Procurement bidding package 9 - Supply and installation of 02 STS and 06 RTG</w:t>
            </w:r>
          </w:p>
        </w:tc>
        <w:tc>
          <w:tcPr>
            <w:tcW w:w="1103"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84,675,520,000</w:t>
            </w:r>
          </w:p>
        </w:tc>
        <w:tc>
          <w:tcPr>
            <w:tcW w:w="676" w:type="pct"/>
            <w:shd w:val="clear" w:color="auto" w:fill="auto"/>
            <w:tcMar>
              <w:top w:w="0" w:type="dxa"/>
              <w:bottom w:w="0" w:type="dxa"/>
            </w:tcMar>
            <w:vAlign w:val="center"/>
          </w:tcPr>
          <w:p w:rsidR="001B0CE9" w:rsidRPr="00CC14B7" w:rsidRDefault="001B0CE9" w:rsidP="00CC14B7">
            <w:pPr>
              <w:tabs>
                <w:tab w:val="left" w:pos="432"/>
              </w:tabs>
              <w:spacing w:after="120" w:line="360" w:lineRule="auto"/>
              <w:rPr>
                <w:rFonts w:ascii="Arial" w:eastAsia="Arial" w:hAnsi="Arial" w:cs="Arial"/>
                <w:color w:val="010000"/>
                <w:sz w:val="20"/>
                <w:szCs w:val="20"/>
              </w:rPr>
            </w:pPr>
          </w:p>
        </w:tc>
      </w:tr>
      <w:tr w:rsidR="001B0CE9" w:rsidRPr="00CC14B7" w:rsidTr="00CC14B7">
        <w:tc>
          <w:tcPr>
            <w:tcW w:w="296" w:type="pct"/>
            <w:shd w:val="clear" w:color="auto" w:fill="auto"/>
            <w:tcMar>
              <w:top w:w="0" w:type="dxa"/>
              <w:bottom w:w="0" w:type="dxa"/>
            </w:tcMar>
            <w:vAlign w:val="center"/>
          </w:tcPr>
          <w:p w:rsidR="001B0CE9" w:rsidRPr="00CC14B7" w:rsidRDefault="001B0CE9" w:rsidP="00CC14B7">
            <w:pPr>
              <w:tabs>
                <w:tab w:val="left" w:pos="432"/>
              </w:tabs>
              <w:spacing w:after="120" w:line="360" w:lineRule="auto"/>
              <w:rPr>
                <w:rFonts w:ascii="Arial" w:eastAsia="Arial" w:hAnsi="Arial" w:cs="Arial"/>
                <w:color w:val="010000"/>
                <w:sz w:val="20"/>
                <w:szCs w:val="20"/>
              </w:rPr>
            </w:pPr>
          </w:p>
        </w:tc>
        <w:tc>
          <w:tcPr>
            <w:tcW w:w="2925"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Total</w:t>
            </w:r>
          </w:p>
        </w:tc>
        <w:tc>
          <w:tcPr>
            <w:tcW w:w="1103"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384,000,000,000</w:t>
            </w:r>
          </w:p>
        </w:tc>
        <w:tc>
          <w:tcPr>
            <w:tcW w:w="676" w:type="pct"/>
            <w:shd w:val="clear" w:color="auto" w:fill="auto"/>
            <w:tcMar>
              <w:top w:w="0" w:type="dxa"/>
              <w:bottom w:w="0" w:type="dxa"/>
            </w:tcMar>
            <w:vAlign w:val="center"/>
          </w:tcPr>
          <w:p w:rsidR="001B0CE9" w:rsidRPr="00CC14B7" w:rsidRDefault="001B0CE9" w:rsidP="00CC14B7">
            <w:pPr>
              <w:tabs>
                <w:tab w:val="left" w:pos="432"/>
              </w:tabs>
              <w:spacing w:after="120" w:line="360" w:lineRule="auto"/>
              <w:rPr>
                <w:rFonts w:ascii="Arial" w:eastAsia="Arial" w:hAnsi="Arial" w:cs="Arial"/>
                <w:color w:val="010000"/>
                <w:sz w:val="20"/>
                <w:szCs w:val="20"/>
              </w:rPr>
            </w:pPr>
          </w:p>
        </w:tc>
      </w:tr>
    </w:tbl>
    <w:p w:rsidR="001B0CE9" w:rsidRPr="00CC14B7" w:rsidRDefault="00CC14B7" w:rsidP="00CC14B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C14B7">
        <w:rPr>
          <w:rFonts w:ascii="Arial" w:hAnsi="Arial" w:cs="Arial"/>
          <w:color w:val="010000"/>
          <w:sz w:val="20"/>
        </w:rPr>
        <w:t>Plan on using capital after change</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1"/>
        <w:gridCol w:w="5136"/>
        <w:gridCol w:w="2059"/>
        <w:gridCol w:w="1291"/>
      </w:tblGrid>
      <w:tr w:rsidR="001B0CE9" w:rsidRPr="00CC14B7" w:rsidTr="00CC14B7">
        <w:tc>
          <w:tcPr>
            <w:tcW w:w="294"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 xml:space="preserve">No. </w:t>
            </w:r>
          </w:p>
        </w:tc>
        <w:tc>
          <w:tcPr>
            <w:tcW w:w="2848"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Usage content</w:t>
            </w:r>
          </w:p>
        </w:tc>
        <w:tc>
          <w:tcPr>
            <w:tcW w:w="1142"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Amount (VND)</w:t>
            </w:r>
          </w:p>
        </w:tc>
        <w:tc>
          <w:tcPr>
            <w:tcW w:w="716"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Note</w:t>
            </w:r>
          </w:p>
        </w:tc>
      </w:tr>
      <w:tr w:rsidR="001B0CE9" w:rsidRPr="00CC14B7" w:rsidTr="00CC14B7">
        <w:tc>
          <w:tcPr>
            <w:tcW w:w="294"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1</w:t>
            </w:r>
          </w:p>
        </w:tc>
        <w:tc>
          <w:tcPr>
            <w:tcW w:w="2848"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XL02 package: Implement construction of wharves, embankments to protect the shore, roads, internal bridges, water supply and drainage, electrical systems and auxiliary works - Phuoc An Port (Phase 1)</w:t>
            </w:r>
          </w:p>
        </w:tc>
        <w:tc>
          <w:tcPr>
            <w:tcW w:w="1142"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291,324,480,000</w:t>
            </w:r>
          </w:p>
        </w:tc>
        <w:tc>
          <w:tcPr>
            <w:tcW w:w="716" w:type="pct"/>
            <w:shd w:val="clear" w:color="auto" w:fill="auto"/>
            <w:tcMar>
              <w:top w:w="0" w:type="dxa"/>
              <w:bottom w:w="0" w:type="dxa"/>
            </w:tcMar>
            <w:vAlign w:val="center"/>
          </w:tcPr>
          <w:p w:rsidR="001B0CE9" w:rsidRPr="00CC14B7" w:rsidRDefault="001B0CE9" w:rsidP="00CC14B7">
            <w:pPr>
              <w:tabs>
                <w:tab w:val="left" w:pos="432"/>
              </w:tabs>
              <w:spacing w:after="120" w:line="360" w:lineRule="auto"/>
              <w:rPr>
                <w:rFonts w:ascii="Arial" w:eastAsia="Arial" w:hAnsi="Arial" w:cs="Arial"/>
                <w:color w:val="010000"/>
                <w:sz w:val="20"/>
                <w:szCs w:val="20"/>
              </w:rPr>
            </w:pPr>
          </w:p>
        </w:tc>
      </w:tr>
      <w:tr w:rsidR="001B0CE9" w:rsidRPr="00CC14B7" w:rsidTr="00CC14B7">
        <w:tc>
          <w:tcPr>
            <w:tcW w:w="294"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2</w:t>
            </w:r>
          </w:p>
        </w:tc>
        <w:tc>
          <w:tcPr>
            <w:tcW w:w="2848"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Procurement bidding package 9 - Supply and installation of 02 STS and 06 RTG</w:t>
            </w:r>
          </w:p>
        </w:tc>
        <w:tc>
          <w:tcPr>
            <w:tcW w:w="1142"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84,675,520,000</w:t>
            </w:r>
          </w:p>
        </w:tc>
        <w:tc>
          <w:tcPr>
            <w:tcW w:w="716" w:type="pct"/>
            <w:shd w:val="clear" w:color="auto" w:fill="auto"/>
            <w:tcMar>
              <w:top w:w="0" w:type="dxa"/>
              <w:bottom w:w="0" w:type="dxa"/>
            </w:tcMar>
            <w:vAlign w:val="center"/>
          </w:tcPr>
          <w:p w:rsidR="001B0CE9" w:rsidRPr="00CC14B7" w:rsidRDefault="001B0CE9" w:rsidP="00CC14B7">
            <w:pPr>
              <w:tabs>
                <w:tab w:val="left" w:pos="432"/>
              </w:tabs>
              <w:spacing w:after="120" w:line="360" w:lineRule="auto"/>
              <w:rPr>
                <w:rFonts w:ascii="Arial" w:eastAsia="Arial" w:hAnsi="Arial" w:cs="Arial"/>
                <w:color w:val="010000"/>
                <w:sz w:val="20"/>
                <w:szCs w:val="20"/>
              </w:rPr>
            </w:pPr>
          </w:p>
        </w:tc>
      </w:tr>
      <w:tr w:rsidR="001B0CE9" w:rsidRPr="00CC14B7" w:rsidTr="00CC14B7">
        <w:tc>
          <w:tcPr>
            <w:tcW w:w="294"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3</w:t>
            </w:r>
          </w:p>
        </w:tc>
        <w:tc>
          <w:tcPr>
            <w:tcW w:w="2848"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Payment for Project Management costs of Phase 1 - Phuoc An Port Project and Port Logistics Service Area; Supplement the company's working capital</w:t>
            </w:r>
          </w:p>
        </w:tc>
        <w:tc>
          <w:tcPr>
            <w:tcW w:w="1142"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8,000,000,000</w:t>
            </w:r>
          </w:p>
        </w:tc>
        <w:tc>
          <w:tcPr>
            <w:tcW w:w="716" w:type="pct"/>
            <w:shd w:val="clear" w:color="auto" w:fill="auto"/>
            <w:tcMar>
              <w:top w:w="0" w:type="dxa"/>
              <w:bottom w:w="0" w:type="dxa"/>
            </w:tcMar>
            <w:vAlign w:val="center"/>
          </w:tcPr>
          <w:p w:rsidR="001B0CE9" w:rsidRPr="00CC14B7" w:rsidRDefault="001B0CE9" w:rsidP="00CC14B7">
            <w:pPr>
              <w:tabs>
                <w:tab w:val="left" w:pos="432"/>
              </w:tabs>
              <w:spacing w:after="120" w:line="360" w:lineRule="auto"/>
              <w:rPr>
                <w:rFonts w:ascii="Arial" w:eastAsia="Arial" w:hAnsi="Arial" w:cs="Arial"/>
                <w:color w:val="010000"/>
                <w:sz w:val="20"/>
                <w:szCs w:val="20"/>
              </w:rPr>
            </w:pPr>
          </w:p>
        </w:tc>
      </w:tr>
      <w:tr w:rsidR="001B0CE9" w:rsidRPr="00CC14B7" w:rsidTr="00CC14B7">
        <w:tc>
          <w:tcPr>
            <w:tcW w:w="294" w:type="pct"/>
            <w:shd w:val="clear" w:color="auto" w:fill="auto"/>
            <w:tcMar>
              <w:top w:w="0" w:type="dxa"/>
              <w:bottom w:w="0" w:type="dxa"/>
            </w:tcMar>
            <w:vAlign w:val="center"/>
          </w:tcPr>
          <w:p w:rsidR="001B0CE9" w:rsidRPr="00CC14B7" w:rsidRDefault="001B0CE9" w:rsidP="00CC14B7">
            <w:pPr>
              <w:tabs>
                <w:tab w:val="left" w:pos="432"/>
              </w:tabs>
              <w:spacing w:after="120" w:line="360" w:lineRule="auto"/>
              <w:rPr>
                <w:rFonts w:ascii="Arial" w:eastAsia="Arial" w:hAnsi="Arial" w:cs="Arial"/>
                <w:color w:val="010000"/>
                <w:sz w:val="20"/>
                <w:szCs w:val="20"/>
              </w:rPr>
            </w:pPr>
          </w:p>
        </w:tc>
        <w:tc>
          <w:tcPr>
            <w:tcW w:w="2848"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Total</w:t>
            </w:r>
          </w:p>
        </w:tc>
        <w:tc>
          <w:tcPr>
            <w:tcW w:w="1142" w:type="pct"/>
            <w:shd w:val="clear" w:color="auto" w:fill="auto"/>
            <w:tcMar>
              <w:top w:w="0" w:type="dxa"/>
              <w:bottom w:w="0" w:type="dxa"/>
            </w:tcMar>
            <w:vAlign w:val="center"/>
          </w:tcPr>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384,000,000,000</w:t>
            </w:r>
          </w:p>
        </w:tc>
        <w:tc>
          <w:tcPr>
            <w:tcW w:w="716" w:type="pct"/>
            <w:shd w:val="clear" w:color="auto" w:fill="auto"/>
            <w:tcMar>
              <w:top w:w="0" w:type="dxa"/>
              <w:bottom w:w="0" w:type="dxa"/>
            </w:tcMar>
            <w:vAlign w:val="center"/>
          </w:tcPr>
          <w:p w:rsidR="001B0CE9" w:rsidRPr="00CC14B7" w:rsidRDefault="001B0CE9" w:rsidP="00CC14B7">
            <w:pPr>
              <w:tabs>
                <w:tab w:val="left" w:pos="432"/>
              </w:tabs>
              <w:spacing w:after="120" w:line="360" w:lineRule="auto"/>
              <w:rPr>
                <w:rFonts w:ascii="Arial" w:eastAsia="Arial" w:hAnsi="Arial" w:cs="Arial"/>
                <w:color w:val="010000"/>
                <w:sz w:val="20"/>
                <w:szCs w:val="20"/>
              </w:rPr>
            </w:pPr>
          </w:p>
        </w:tc>
      </w:tr>
    </w:tbl>
    <w:p w:rsidR="001B0CE9" w:rsidRPr="00CC14B7" w:rsidRDefault="00CC14B7" w:rsidP="00CC14B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t>The General Meeting of Shareholders assigned the Board of Directors to implement:</w:t>
      </w:r>
    </w:p>
    <w:p w:rsidR="001B0CE9" w:rsidRPr="00CC14B7" w:rsidRDefault="00CC14B7" w:rsidP="00CC14B7">
      <w:pPr>
        <w:numPr>
          <w:ilvl w:val="0"/>
          <w:numId w:val="2"/>
        </w:numPr>
        <w:pBdr>
          <w:top w:val="nil"/>
          <w:left w:val="nil"/>
          <w:bottom w:val="nil"/>
          <w:right w:val="nil"/>
          <w:between w:val="nil"/>
        </w:pBdr>
        <w:tabs>
          <w:tab w:val="left" w:pos="432"/>
          <w:tab w:val="left" w:pos="1428"/>
        </w:tabs>
        <w:spacing w:after="120" w:line="360" w:lineRule="auto"/>
        <w:rPr>
          <w:rFonts w:ascii="Arial" w:eastAsia="Arial" w:hAnsi="Arial" w:cs="Arial"/>
          <w:color w:val="010000"/>
          <w:sz w:val="20"/>
          <w:szCs w:val="20"/>
        </w:rPr>
      </w:pPr>
      <w:r w:rsidRPr="00CC14B7">
        <w:rPr>
          <w:rFonts w:ascii="Arial" w:hAnsi="Arial" w:cs="Arial"/>
          <w:color w:val="010000"/>
          <w:sz w:val="20"/>
        </w:rPr>
        <w:t>Based on the project implementation situation, adjust the plan on using capital (when necessary) to ensure effective capital usage and shareholder benefits.</w:t>
      </w:r>
    </w:p>
    <w:p w:rsidR="001B0CE9" w:rsidRPr="00CC14B7" w:rsidRDefault="00CC14B7" w:rsidP="00CC14B7">
      <w:pPr>
        <w:numPr>
          <w:ilvl w:val="0"/>
          <w:numId w:val="2"/>
        </w:numPr>
        <w:pBdr>
          <w:top w:val="nil"/>
          <w:left w:val="nil"/>
          <w:bottom w:val="nil"/>
          <w:right w:val="nil"/>
          <w:between w:val="nil"/>
        </w:pBdr>
        <w:tabs>
          <w:tab w:val="left" w:pos="432"/>
          <w:tab w:val="left" w:pos="1428"/>
        </w:tabs>
        <w:spacing w:after="120" w:line="360" w:lineRule="auto"/>
        <w:rPr>
          <w:rFonts w:ascii="Arial" w:eastAsia="Arial" w:hAnsi="Arial" w:cs="Arial"/>
          <w:color w:val="010000"/>
          <w:sz w:val="20"/>
          <w:szCs w:val="20"/>
        </w:rPr>
      </w:pPr>
      <w:r w:rsidRPr="00CC14B7">
        <w:rPr>
          <w:rFonts w:ascii="Arial" w:hAnsi="Arial" w:cs="Arial"/>
          <w:color w:val="010000"/>
          <w:sz w:val="20"/>
        </w:rPr>
        <w:t>Balance and use capital in accordance with the Company's operating situation and project implementation situation to ensure effective capital use and shareholder benefits.</w:t>
      </w:r>
    </w:p>
    <w:p w:rsidR="001B0CE9" w:rsidRPr="00CC14B7" w:rsidRDefault="00CC14B7" w:rsidP="00CC14B7">
      <w:pPr>
        <w:numPr>
          <w:ilvl w:val="0"/>
          <w:numId w:val="2"/>
        </w:numPr>
        <w:pBdr>
          <w:top w:val="nil"/>
          <w:left w:val="nil"/>
          <w:bottom w:val="nil"/>
          <w:right w:val="nil"/>
          <w:between w:val="nil"/>
        </w:pBdr>
        <w:tabs>
          <w:tab w:val="left" w:pos="432"/>
          <w:tab w:val="left" w:pos="1428"/>
        </w:tabs>
        <w:spacing w:after="120" w:line="360" w:lineRule="auto"/>
        <w:rPr>
          <w:rFonts w:ascii="Arial" w:eastAsia="Arial" w:hAnsi="Arial" w:cs="Arial"/>
          <w:color w:val="010000"/>
          <w:sz w:val="20"/>
          <w:szCs w:val="20"/>
        </w:rPr>
      </w:pPr>
      <w:r w:rsidRPr="00CC14B7">
        <w:rPr>
          <w:rFonts w:ascii="Arial" w:hAnsi="Arial" w:cs="Arial"/>
          <w:color w:val="010000"/>
          <w:sz w:val="20"/>
        </w:rPr>
        <w:t>Report to the General Meeting of Shareholders on the results of using capital in accordance with current regulations at the most recent Meeting.</w:t>
      </w:r>
    </w:p>
    <w:p w:rsidR="001B0CE9" w:rsidRPr="00CC14B7" w:rsidRDefault="00CC14B7" w:rsidP="00CC14B7">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C14B7">
        <w:rPr>
          <w:rFonts w:ascii="Arial" w:hAnsi="Arial" w:cs="Arial"/>
          <w:color w:val="010000"/>
          <w:sz w:val="20"/>
        </w:rPr>
        <w:lastRenderedPageBreak/>
        <w:t>Article 2: Terms of enforcement:</w:t>
      </w:r>
    </w:p>
    <w:p w:rsidR="001B0CE9" w:rsidRPr="00CC14B7" w:rsidRDefault="00CC14B7" w:rsidP="00CC14B7">
      <w:pPr>
        <w:numPr>
          <w:ilvl w:val="0"/>
          <w:numId w:val="3"/>
        </w:numPr>
        <w:pBdr>
          <w:top w:val="nil"/>
          <w:left w:val="nil"/>
          <w:bottom w:val="nil"/>
          <w:right w:val="nil"/>
          <w:between w:val="nil"/>
        </w:pBdr>
        <w:tabs>
          <w:tab w:val="left" w:pos="432"/>
          <w:tab w:val="left" w:pos="1540"/>
        </w:tabs>
        <w:spacing w:after="120" w:line="360" w:lineRule="auto"/>
        <w:rPr>
          <w:rFonts w:ascii="Arial" w:eastAsia="Arial" w:hAnsi="Arial" w:cs="Arial"/>
          <w:color w:val="010000"/>
          <w:sz w:val="20"/>
          <w:szCs w:val="20"/>
        </w:rPr>
      </w:pPr>
      <w:r w:rsidRPr="00CC14B7">
        <w:rPr>
          <w:rFonts w:ascii="Arial" w:hAnsi="Arial" w:cs="Arial"/>
          <w:color w:val="010000"/>
          <w:sz w:val="20"/>
        </w:rPr>
        <w:t>This General Mandate was approved by the General Meeting of Shareholders of Petro Vietnam Phuoc An Port Investment &amp; Operation Joint Stock Company by collecting shareholders' opinions via a ballot in accordance with the provisions of law and the Company's Charter and takes effect from the date of its signing and promulgation by the Chair of the Board of Directors of the Company.</w:t>
      </w:r>
    </w:p>
    <w:p w:rsidR="001B0CE9" w:rsidRPr="00CC14B7" w:rsidRDefault="00CC14B7" w:rsidP="00CC14B7">
      <w:pPr>
        <w:numPr>
          <w:ilvl w:val="0"/>
          <w:numId w:val="3"/>
        </w:numPr>
        <w:pBdr>
          <w:top w:val="nil"/>
          <w:left w:val="nil"/>
          <w:bottom w:val="nil"/>
          <w:right w:val="nil"/>
          <w:between w:val="nil"/>
        </w:pBdr>
        <w:tabs>
          <w:tab w:val="left" w:pos="432"/>
          <w:tab w:val="left" w:pos="1540"/>
          <w:tab w:val="left" w:pos="9746"/>
        </w:tabs>
        <w:spacing w:after="120" w:line="360" w:lineRule="auto"/>
        <w:rPr>
          <w:rFonts w:ascii="Arial" w:eastAsia="Arial" w:hAnsi="Arial" w:cs="Arial"/>
          <w:color w:val="010000"/>
          <w:sz w:val="20"/>
          <w:szCs w:val="20"/>
        </w:rPr>
      </w:pPr>
      <w:r w:rsidRPr="00CC14B7">
        <w:rPr>
          <w:rFonts w:ascii="Arial" w:hAnsi="Arial" w:cs="Arial"/>
          <w:color w:val="010000"/>
          <w:sz w:val="20"/>
        </w:rPr>
        <w:t>The Board of Directors is responsible for directing the Executive Board to implement the contents stated in this General Mandate in accordance with the provisions of law and the Company's Charter. At the same time, be responsible for reporting the situation and results of implementing this General Mandate at the nearest General Meeting of Shareholders. /</w:t>
      </w:r>
    </w:p>
    <w:p w:rsidR="001B0CE9" w:rsidRPr="00CC14B7" w:rsidRDefault="00CC14B7" w:rsidP="00CC14B7">
      <w:pPr>
        <w:numPr>
          <w:ilvl w:val="0"/>
          <w:numId w:val="3"/>
        </w:numPr>
        <w:pBdr>
          <w:top w:val="nil"/>
          <w:left w:val="nil"/>
          <w:bottom w:val="nil"/>
          <w:right w:val="nil"/>
          <w:between w:val="nil"/>
        </w:pBdr>
        <w:tabs>
          <w:tab w:val="left" w:pos="432"/>
          <w:tab w:val="left" w:pos="1544"/>
        </w:tabs>
        <w:spacing w:after="120" w:line="360" w:lineRule="auto"/>
        <w:rPr>
          <w:rFonts w:ascii="Arial" w:eastAsia="Arial" w:hAnsi="Arial" w:cs="Arial"/>
          <w:color w:val="010000"/>
          <w:sz w:val="20"/>
          <w:szCs w:val="20"/>
        </w:rPr>
      </w:pPr>
      <w:r w:rsidRPr="00CC14B7">
        <w:rPr>
          <w:rFonts w:ascii="Arial" w:hAnsi="Arial" w:cs="Arial"/>
          <w:color w:val="010000"/>
          <w:sz w:val="20"/>
        </w:rPr>
        <w:t>The Company's Supervisory Board is responsible for inspecting and supervising the implementation of this General Mandate in accordance with current regulations.</w:t>
      </w:r>
    </w:p>
    <w:sectPr w:rsidR="001B0CE9" w:rsidRPr="00CC14B7" w:rsidSect="00CC14B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23CC2"/>
    <w:multiLevelType w:val="multilevel"/>
    <w:tmpl w:val="4D5AEC7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416F23"/>
    <w:multiLevelType w:val="multilevel"/>
    <w:tmpl w:val="9E1E5FA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0664199"/>
    <w:multiLevelType w:val="multilevel"/>
    <w:tmpl w:val="7524675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E9"/>
    <w:rsid w:val="001B0CE9"/>
    <w:rsid w:val="00CC14B7"/>
    <w:rsid w:val="00F9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BCEAF2-7561-4AB6-826D-20AE06CD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5"/>
      <w:szCs w:val="15"/>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lang w:val="en-US" w:eastAsia="en-US"/>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AE5976"/>
      <w:sz w:val="16"/>
      <w:szCs w:val="16"/>
      <w:u w:val="none"/>
      <w:lang w:val="en-US" w:eastAsia="en-US"/>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pPr>
      <w:jc w:val="center"/>
    </w:pPr>
    <w:rPr>
      <w:rFonts w:ascii="Arial" w:eastAsia="Arial" w:hAnsi="Arial" w:cs="Arial"/>
      <w:sz w:val="15"/>
      <w:szCs w:val="15"/>
    </w:rPr>
  </w:style>
  <w:style w:type="paragraph" w:customStyle="1" w:styleId="Bodytext20">
    <w:name w:val="Body text (2)"/>
    <w:basedOn w:val="Normal"/>
    <w:link w:val="Bodytext2"/>
    <w:pPr>
      <w:spacing w:line="178" w:lineRule="auto"/>
    </w:pPr>
    <w:rPr>
      <w:rFonts w:ascii="Arial" w:eastAsia="Arial" w:hAnsi="Arial" w:cs="Arial"/>
      <w:sz w:val="8"/>
      <w:szCs w:val="8"/>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50">
    <w:name w:val="Body text (5)"/>
    <w:basedOn w:val="Normal"/>
    <w:link w:val="Bodytext5"/>
    <w:pPr>
      <w:spacing w:line="257" w:lineRule="auto"/>
      <w:jc w:val="center"/>
    </w:pPr>
    <w:rPr>
      <w:rFonts w:ascii="Times New Roman" w:eastAsia="Times New Roman" w:hAnsi="Times New Roman" w:cs="Times New Roman"/>
      <w:color w:val="AE5976"/>
      <w:sz w:val="16"/>
      <w:szCs w:val="16"/>
    </w:rPr>
  </w:style>
  <w:style w:type="paragraph" w:customStyle="1" w:styleId="Heading21">
    <w:name w:val="Heading #2"/>
    <w:basedOn w:val="Normal"/>
    <w:link w:val="Heading20"/>
    <w:pPr>
      <w:spacing w:line="276" w:lineRule="auto"/>
      <w:jc w:val="center"/>
      <w:outlineLvl w:val="1"/>
    </w:pPr>
    <w:rPr>
      <w:rFonts w:ascii="Times New Roman" w:eastAsia="Times New Roman" w:hAnsi="Times New Roman" w:cs="Times New Roman"/>
      <w:b/>
      <w:bCs/>
      <w:sz w:val="26"/>
      <w:szCs w:val="26"/>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pPr>
      <w:spacing w:line="245" w:lineRule="auto"/>
      <w:ind w:firstLine="350"/>
    </w:pPr>
    <w:rPr>
      <w:rFonts w:ascii="Times New Roman" w:eastAsia="Times New Roman" w:hAnsi="Times New Roman" w:cs="Times New Roman"/>
      <w:b/>
      <w:bCs/>
      <w:sz w:val="26"/>
      <w:szCs w:val="26"/>
    </w:rPr>
  </w:style>
  <w:style w:type="paragraph" w:customStyle="1" w:styleId="Other0">
    <w:name w:val="Other"/>
    <w:basedOn w:val="Normal"/>
    <w:link w:val="Other"/>
    <w:pPr>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spacing w:line="233" w:lineRule="auto"/>
      <w:ind w:firstLine="840"/>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uxBnqxlPfHjRYHMXrynI8MNxg==">CgMxLjA4AHIhMVpuQkFGaW9OdXNQS2VCaENvMnJNUmtVQlNQVFlUSlJW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2024-09-27T02:55:00Z</dcterms:created>
  <dcterms:modified xsi:type="dcterms:W3CDTF">2024-09-27T02:55:00Z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d8c4b1a054d290d398a28f7e1a069b330c79e313b25bbfd37c144e216f12a03b</vt:lpwstr>
  </property>
</Properties>
</file>