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102107">
        <w:rPr>
          <w:rFonts w:ascii="Arial" w:hAnsi="Arial" w:cs="Arial"/>
          <w:b/>
          <w:color w:val="010000"/>
          <w:sz w:val="20"/>
        </w:rPr>
        <w:t>PSL: Board Resolution</w:t>
      </w:r>
    </w:p>
    <w:p w14:paraId="00000002" w14:textId="77A79C30"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On September 25, 2024, Phu Son Livestock Joint Stock Company announced Resolution No. 20/NQ-HDQT as follows:</w:t>
      </w:r>
    </w:p>
    <w:p w14:paraId="00000003" w14:textId="2BD69D76"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‎‎Article 1. Approve the estimate of the Production and business results in the first 9 months of 2024:</w:t>
      </w:r>
    </w:p>
    <w:p w14:paraId="00000004" w14:textId="79D76C98" w:rsidR="004A0580" w:rsidRPr="00102107" w:rsidRDefault="00102107" w:rsidP="0010210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Production and business results in the first 9 months of 2024:</w:t>
      </w:r>
    </w:p>
    <w:p w14:paraId="00000005" w14:textId="77777777" w:rsidR="004A0580" w:rsidRPr="00102107" w:rsidRDefault="00102107" w:rsidP="00102107">
      <w:pPr>
        <w:numPr>
          <w:ilvl w:val="0"/>
          <w:numId w:val="2"/>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Sale volume:</w:t>
      </w:r>
    </w:p>
    <w:p w14:paraId="00000006"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Breeding pig: 84 tons, reaching 70% of the plan;</w:t>
      </w:r>
    </w:p>
    <w:p w14:paraId="00000007"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Porker: 1,667 tons, reaching 83.6% of the plan;</w:t>
      </w:r>
    </w:p>
    <w:p w14:paraId="00000008" w14:textId="77777777" w:rsidR="004A0580" w:rsidRPr="00102107" w:rsidRDefault="00102107" w:rsidP="0010210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Total revenue: VND115,047 million, reaching 85.5% of the plan;</w:t>
      </w:r>
    </w:p>
    <w:p w14:paraId="00000009" w14:textId="77777777" w:rsidR="004A0580" w:rsidRPr="00102107" w:rsidRDefault="00102107" w:rsidP="0010210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Profit before tax: VND3,100 million, reaching 58.5% of the plan;</w:t>
      </w:r>
    </w:p>
    <w:p w14:paraId="0000000A" w14:textId="77777777" w:rsidR="004A0580" w:rsidRPr="00102107" w:rsidRDefault="00102107" w:rsidP="0010210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Profit after tax: VND2,635 million, reaching 58.6% of the plan;</w:t>
      </w:r>
    </w:p>
    <w:p w14:paraId="0000000B" w14:textId="77777777" w:rsidR="004A0580" w:rsidRPr="00102107" w:rsidRDefault="00102107" w:rsidP="00102107">
      <w:pPr>
        <w:numPr>
          <w:ilvl w:val="0"/>
          <w:numId w:val="3"/>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Payables to the State budget: VND1,131 million, reaching 94.3% of the plan.</w:t>
      </w:r>
    </w:p>
    <w:p w14:paraId="0000000C" w14:textId="77777777" w:rsidR="004A0580" w:rsidRPr="00102107" w:rsidRDefault="00102107" w:rsidP="00102107">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 xml:space="preserve">Production and business plan in Q4/2024: </w:t>
      </w:r>
    </w:p>
    <w:p w14:paraId="0000000D" w14:textId="77777777" w:rsidR="004A0580" w:rsidRPr="00102107" w:rsidRDefault="00102107" w:rsidP="00102107">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Implement safe livestock farming solutions;</w:t>
      </w:r>
    </w:p>
    <w:p w14:paraId="0000000E" w14:textId="77777777" w:rsidR="004A0580" w:rsidRPr="00102107" w:rsidRDefault="00102107" w:rsidP="00102107">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 xml:space="preserve"> Sell piglets for breeding with a yield of about 4,000;</w:t>
      </w:r>
    </w:p>
    <w:p w14:paraId="0000000F" w14:textId="586DEA05" w:rsidR="004A0580" w:rsidRPr="00102107" w:rsidRDefault="00102107" w:rsidP="00102107">
      <w:pPr>
        <w:numPr>
          <w:ilvl w:val="0"/>
          <w:numId w:val="4"/>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102107">
        <w:rPr>
          <w:rFonts w:ascii="Arial" w:hAnsi="Arial" w:cs="Arial"/>
          <w:color w:val="010000"/>
          <w:sz w:val="20"/>
        </w:rPr>
        <w:t>Implement solutions on livestock farming techniques, veterinary medicine, feed, etc. to ensure disease safety for the pig herd, and increase the selection of breeding sows to create a breeding sow herd with good productivity and quality. Continue to compare and test pig feed types of reputable companies such as C.P.Vietnam Corporation, Agro Nutrition International Joint Stock Company, Thagri Feed Long An Limited Liability Company on the entire pig herd to select the best and most effective feed; seize the market, contact more customers to ensure convenient product consumption and prices suitable to the market. Regularly seize the price of input costs (animal feed, veterinary medicine, etc.) to have a reasonable purchasing policy to keep livestock costs low, take care of the material and spiritual life, and stabilize the income of employees.</w:t>
      </w:r>
    </w:p>
    <w:p w14:paraId="00000010"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 xml:space="preserve">‎‎Article 2. Approve on selecting the independent audit company for the Financial Statements 2024 of the Company </w:t>
      </w:r>
    </w:p>
    <w:p w14:paraId="00000011" w14:textId="0655A504"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Pursuant to Annual General Mandate No. 04/NQ-DH dated June 26, 2024 of Phu Son Livestock Joint Stock Company, the General Meeting of Shareholders authorized the Board of Directors to select the independent audit company on the approved list of the Ministry of Finance.</w:t>
      </w:r>
    </w:p>
    <w:p w14:paraId="00000012" w14:textId="1F11BFBD"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 xml:space="preserve">The Board of Directors approved the opinion of the Chief of the Supervisory Board of the Company to select the Branch of AASC Auditing Firm Company Limited, District 4, Ho Chi Minh City (on the list of audit companies approved by the Ministry of Finance) to audit the Financial Statements 2024 of Phu Son Livestock Joint Stock Company. </w:t>
      </w:r>
    </w:p>
    <w:p w14:paraId="00000013"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 xml:space="preserve">‎‎Article 3. The Board of Directors approved on conducting the General Meeting of Shareholders in the </w:t>
      </w:r>
      <w:r w:rsidRPr="00102107">
        <w:rPr>
          <w:rFonts w:ascii="Arial" w:hAnsi="Arial" w:cs="Arial"/>
          <w:color w:val="010000"/>
          <w:sz w:val="20"/>
        </w:rPr>
        <w:lastRenderedPageBreak/>
        <w:t>form of approving the General Mandate to collect shareholders’ opinions via a ballot on dismissing and electing additional members of the Board of Directors of the Company for the term 2021-2025 in the nearest time:</w:t>
      </w:r>
    </w:p>
    <w:p w14:paraId="00000014" w14:textId="26F05F16" w:rsidR="004A0580" w:rsidRPr="00102107" w:rsidRDefault="00102107" w:rsidP="00102107">
      <w:pPr>
        <w:numPr>
          <w:ilvl w:val="0"/>
          <w:numId w:val="6"/>
        </w:numPr>
        <w:pBdr>
          <w:top w:val="nil"/>
          <w:left w:val="nil"/>
          <w:bottom w:val="nil"/>
          <w:right w:val="nil"/>
          <w:between w:val="nil"/>
        </w:pBdr>
        <w:tabs>
          <w:tab w:val="left" w:pos="752"/>
        </w:tabs>
        <w:spacing w:after="120" w:line="360" w:lineRule="auto"/>
        <w:rPr>
          <w:rFonts w:ascii="Arial" w:eastAsia="Arial" w:hAnsi="Arial" w:cs="Arial"/>
          <w:color w:val="010000"/>
          <w:sz w:val="20"/>
          <w:szCs w:val="20"/>
        </w:rPr>
      </w:pPr>
      <w:r w:rsidRPr="00102107">
        <w:rPr>
          <w:rFonts w:ascii="Arial" w:hAnsi="Arial" w:cs="Arial"/>
          <w:color w:val="010000"/>
          <w:sz w:val="20"/>
        </w:rPr>
        <w:t>Dismissal: On September 3, 2024, the Board of Directors received the Resignation for a member of the Board of Directors of Ms. Dang Tran Duc Ai due to no longer being the capital representative of Dong Nai Food Industrial Corporation. The Board of Directors approved on implementing procedures to prepare the Proposal for the General Meeting of Shareholders on dismissing a member of the Board of Directors for Ms. Dang Tran Duc Ai.</w:t>
      </w:r>
    </w:p>
    <w:p w14:paraId="00000015" w14:textId="790BE79C" w:rsidR="004A0580" w:rsidRPr="00102107" w:rsidRDefault="00102107" w:rsidP="00102107">
      <w:pPr>
        <w:numPr>
          <w:ilvl w:val="0"/>
          <w:numId w:val="6"/>
        </w:numPr>
        <w:pBdr>
          <w:top w:val="nil"/>
          <w:left w:val="nil"/>
          <w:bottom w:val="nil"/>
          <w:right w:val="nil"/>
          <w:between w:val="nil"/>
        </w:pBdr>
        <w:tabs>
          <w:tab w:val="left" w:pos="757"/>
        </w:tabs>
        <w:spacing w:after="120" w:line="360" w:lineRule="auto"/>
        <w:rPr>
          <w:rFonts w:ascii="Arial" w:eastAsia="Arial" w:hAnsi="Arial" w:cs="Arial"/>
          <w:color w:val="010000"/>
          <w:sz w:val="20"/>
          <w:szCs w:val="20"/>
        </w:rPr>
      </w:pPr>
      <w:r w:rsidRPr="00102107">
        <w:rPr>
          <w:rFonts w:ascii="Arial" w:hAnsi="Arial" w:cs="Arial"/>
          <w:color w:val="010000"/>
          <w:sz w:val="20"/>
        </w:rPr>
        <w:t>Additional election: Pursuant Decision No. 246/QD-HDTV dated August 30, 2024 of the Board of Members of Dong Nai Food Industrial Corporation on appointing Ms. Nguyen Thi Bich Thuy to be the capital representative of the Corporation at the Company (the Corporation is currently owning 8,688,981 shares, accounting for 73.56% of charter capital at the Company). The Board of Directors approved on implementing procedures to prepare the Proposal for the General Meeting of Shareholders on electing Ms. Nguyen Thi Bich Thuy, Gender: Female, date of birth: December 18, 1984, holding the position of Member of the Board of Directors of the Company for the term 2021-2025.</w:t>
      </w:r>
    </w:p>
    <w:p w14:paraId="00000016" w14:textId="77777777" w:rsidR="004A0580" w:rsidRPr="00102107" w:rsidRDefault="00102107" w:rsidP="00102107">
      <w:pPr>
        <w:numPr>
          <w:ilvl w:val="0"/>
          <w:numId w:val="6"/>
        </w:numPr>
        <w:pBdr>
          <w:top w:val="nil"/>
          <w:left w:val="nil"/>
          <w:bottom w:val="nil"/>
          <w:right w:val="nil"/>
          <w:between w:val="nil"/>
        </w:pBdr>
        <w:tabs>
          <w:tab w:val="left" w:pos="757"/>
        </w:tabs>
        <w:spacing w:after="120" w:line="360" w:lineRule="auto"/>
        <w:rPr>
          <w:rFonts w:ascii="Arial" w:eastAsia="Arial" w:hAnsi="Arial" w:cs="Arial"/>
          <w:color w:val="010000"/>
          <w:sz w:val="20"/>
          <w:szCs w:val="20"/>
        </w:rPr>
      </w:pPr>
      <w:r w:rsidRPr="00102107">
        <w:rPr>
          <w:rFonts w:ascii="Arial" w:hAnsi="Arial" w:cs="Arial"/>
          <w:color w:val="010000"/>
          <w:sz w:val="20"/>
        </w:rPr>
        <w:t>The Board of Directors approved on conducting the General Meeting of Shareholders of the Company in the form of approving the General Mandate to collect shareholders’ opinions via a ballot, at the following time:</w:t>
      </w:r>
    </w:p>
    <w:p w14:paraId="00000017" w14:textId="77777777"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Notice on recording the list of shareholders to collect opinions: September 25, 2024.</w:t>
      </w:r>
    </w:p>
    <w:p w14:paraId="00000018" w14:textId="4EA5ED5A"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Contents for collecting opinions: Dismiss and elect additional members of the Board of Directors.</w:t>
      </w:r>
    </w:p>
    <w:p w14:paraId="00000019" w14:textId="77777777"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Record date: October 22, 2024;</w:t>
      </w:r>
    </w:p>
    <w:p w14:paraId="0000001A" w14:textId="77777777"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Time to receive ballot of shareholders: 4:00 p.m. on November 18, 2024;</w:t>
      </w:r>
    </w:p>
    <w:p w14:paraId="0000001B" w14:textId="77777777"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Counting ballots of shareholders: November 19, 2024;</w:t>
      </w:r>
    </w:p>
    <w:p w14:paraId="0000001C" w14:textId="66CE18D5" w:rsidR="004A0580" w:rsidRPr="00102107" w:rsidRDefault="00102107" w:rsidP="00102107">
      <w:pPr>
        <w:numPr>
          <w:ilvl w:val="0"/>
          <w:numId w:val="5"/>
        </w:numPr>
        <w:pBdr>
          <w:top w:val="nil"/>
          <w:left w:val="nil"/>
          <w:bottom w:val="nil"/>
          <w:right w:val="nil"/>
          <w:between w:val="nil"/>
        </w:pBdr>
        <w:tabs>
          <w:tab w:val="left" w:pos="726"/>
        </w:tabs>
        <w:spacing w:after="120" w:line="360" w:lineRule="auto"/>
        <w:rPr>
          <w:rFonts w:ascii="Arial" w:eastAsia="Arial" w:hAnsi="Arial" w:cs="Arial"/>
          <w:color w:val="010000"/>
          <w:sz w:val="20"/>
          <w:szCs w:val="20"/>
        </w:rPr>
      </w:pPr>
      <w:r w:rsidRPr="00102107">
        <w:rPr>
          <w:rFonts w:ascii="Arial" w:hAnsi="Arial" w:cs="Arial"/>
          <w:color w:val="010000"/>
          <w:sz w:val="20"/>
        </w:rPr>
        <w:t>Disclose information of the Minutes of Vote Counting, General Mandate, and Documents attached to the Minutes of Vote Counting and Resolution: November 20, 2024.</w:t>
      </w:r>
    </w:p>
    <w:p w14:paraId="0000001D" w14:textId="75C88EAA"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‎‎Article 4. To increase revenue, the Company is researching leasing out land areas and land-attached assets of the Company in accordance with Land Law No. 31/2024/QH15 dated January 18, 2024 (Point dd, Clause 1, Article 34) and relevant Laws.</w:t>
      </w:r>
    </w:p>
    <w:p w14:paraId="0000001E"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‎‎Article 5. Implementation</w:t>
      </w:r>
    </w:p>
    <w:p w14:paraId="0000001F"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This Resolution was approved by members of the Board of Directors attending the meeting and voting and takes effect from the date of its signing. The Board of Directors authorized the Chair of the Board of Directors, the Legal Representative of the Company to implement the content of this Resolution in accordance with the current provisions of law.</w:t>
      </w:r>
    </w:p>
    <w:p w14:paraId="00000020" w14:textId="77777777" w:rsidR="004A0580" w:rsidRPr="00102107" w:rsidRDefault="00102107" w:rsidP="00102107">
      <w:pPr>
        <w:pBdr>
          <w:top w:val="nil"/>
          <w:left w:val="nil"/>
          <w:bottom w:val="nil"/>
          <w:right w:val="nil"/>
          <w:between w:val="nil"/>
        </w:pBdr>
        <w:spacing w:after="120" w:line="360" w:lineRule="auto"/>
        <w:rPr>
          <w:rFonts w:ascii="Arial" w:eastAsia="Arial" w:hAnsi="Arial" w:cs="Arial"/>
          <w:color w:val="010000"/>
          <w:sz w:val="20"/>
          <w:szCs w:val="20"/>
        </w:rPr>
      </w:pPr>
      <w:r w:rsidRPr="00102107">
        <w:rPr>
          <w:rFonts w:ascii="Arial" w:hAnsi="Arial" w:cs="Arial"/>
          <w:color w:val="010000"/>
          <w:sz w:val="20"/>
        </w:rPr>
        <w:t xml:space="preserve">Members of the Board of Directors, the Supervisory Board, the Executive Board of the Company, </w:t>
      </w:r>
      <w:r w:rsidRPr="00102107">
        <w:rPr>
          <w:rFonts w:ascii="Arial" w:hAnsi="Arial" w:cs="Arial"/>
          <w:color w:val="010000"/>
          <w:sz w:val="20"/>
        </w:rPr>
        <w:lastRenderedPageBreak/>
        <w:t>relevant units, departments, organizations, and individuals are responsible for implementing this Resolution./.</w:t>
      </w:r>
    </w:p>
    <w:sectPr w:rsidR="004A0580" w:rsidRPr="00102107" w:rsidSect="00102107">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F43"/>
    <w:multiLevelType w:val="multilevel"/>
    <w:tmpl w:val="EA5A124E"/>
    <w:lvl w:ilvl="0">
      <w:start w:val="1"/>
      <w:numFmt w:val="bullet"/>
      <w:lvlText w:val="+"/>
      <w:lvlJc w:val="left"/>
      <w:pPr>
        <w:ind w:left="720" w:hanging="360"/>
      </w:pPr>
      <w:rPr>
        <w:rFonts w:ascii="Arial" w:hAnsi="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997DDE"/>
    <w:multiLevelType w:val="multilevel"/>
    <w:tmpl w:val="F8EAB206"/>
    <w:lvl w:ilvl="0">
      <w:start w:val="1"/>
      <w:numFmt w:val="bullet"/>
      <w:lvlText w:val="+"/>
      <w:lvlJc w:val="left"/>
      <w:pPr>
        <w:ind w:left="1080" w:hanging="360"/>
      </w:pPr>
      <w:rPr>
        <w:rFonts w:ascii="Arial" w:hAnsi="Arial" w:hint="default"/>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1D230CC7"/>
    <w:multiLevelType w:val="multilevel"/>
    <w:tmpl w:val="770A3EF6"/>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CA7E3B"/>
    <w:multiLevelType w:val="multilevel"/>
    <w:tmpl w:val="98824896"/>
    <w:lvl w:ilvl="0">
      <w:start w:val="1"/>
      <w:numFmt w:val="decimal"/>
      <w:lvlText w:val="%1."/>
      <w:lvlJc w:val="left"/>
      <w:pPr>
        <w:ind w:left="0" w:firstLine="0"/>
      </w:pPr>
      <w:rPr>
        <w:rFonts w:ascii="Arial" w:eastAsia="Arial" w:hAnsi="Arial" w:cs="Arial"/>
        <w:b w:val="0"/>
        <w:i w:val="0"/>
        <w:smallCaps w:val="0"/>
        <w:strike w:val="0"/>
        <w:color w:val="auto"/>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B169D7"/>
    <w:multiLevelType w:val="multilevel"/>
    <w:tmpl w:val="37D67D4E"/>
    <w:lvl w:ilvl="0">
      <w:start w:val="1"/>
      <w:numFmt w:val="bullet"/>
      <w:lvlText w:val="+"/>
      <w:lvlJc w:val="left"/>
      <w:pPr>
        <w:ind w:left="720" w:hanging="360"/>
      </w:pPr>
      <w:rPr>
        <w:rFonts w:ascii="Arial" w:hAnsi="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A39038F"/>
    <w:multiLevelType w:val="multilevel"/>
    <w:tmpl w:val="554CA7AC"/>
    <w:lvl w:ilvl="0">
      <w:start w:val="1"/>
      <w:numFmt w:val="bullet"/>
      <w:lvlText w:val="-"/>
      <w:lvlJc w:val="left"/>
      <w:pPr>
        <w:ind w:left="0" w:firstLine="0"/>
      </w:pPr>
      <w:rPr>
        <w:rFonts w:ascii="Times New Roman" w:eastAsia="Times New Roman" w:hAnsi="Times New Roman" w:cs="Times New Roman"/>
        <w:b w:val="0"/>
        <w:i w:val="0"/>
        <w:smallCaps w:val="0"/>
        <w:strike w:val="0"/>
        <w:color w:val="404E57"/>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80"/>
    <w:rsid w:val="000A7AA8"/>
    <w:rsid w:val="00102107"/>
    <w:rsid w:val="004A0580"/>
    <w:rsid w:val="0051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C99FE"/>
  <w15:docId w15:val="{B7DB088B-9B25-46BA-A5A7-B25C09F8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404E57"/>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404E57"/>
      <w:sz w:val="18"/>
      <w:szCs w:val="1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404E57"/>
      <w:sz w:val="20"/>
      <w:szCs w:val="20"/>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b/>
      <w:bCs/>
    </w:rPr>
  </w:style>
  <w:style w:type="paragraph" w:styleId="BodyText">
    <w:name w:val="Body Text"/>
    <w:basedOn w:val="Normal"/>
    <w:link w:val="BodyTextChar"/>
    <w:qFormat/>
    <w:pPr>
      <w:ind w:firstLine="370"/>
    </w:pPr>
    <w:rPr>
      <w:rFonts w:ascii="Times New Roman" w:eastAsia="Times New Roman" w:hAnsi="Times New Roman" w:cs="Times New Roman"/>
      <w:color w:val="404E57"/>
      <w:sz w:val="28"/>
      <w:szCs w:val="28"/>
    </w:rPr>
  </w:style>
  <w:style w:type="paragraph" w:customStyle="1" w:styleId="Bodytext30">
    <w:name w:val="Body text (3)"/>
    <w:basedOn w:val="Normal"/>
    <w:link w:val="Bodytext3"/>
    <w:pPr>
      <w:ind w:firstLine="520"/>
    </w:pPr>
    <w:rPr>
      <w:rFonts w:ascii="Times New Roman" w:eastAsia="Times New Roman" w:hAnsi="Times New Roman" w:cs="Times New Roman"/>
      <w:color w:val="404E57"/>
      <w:sz w:val="18"/>
      <w:szCs w:val="18"/>
    </w:rPr>
  </w:style>
  <w:style w:type="paragraph" w:customStyle="1" w:styleId="Bodytext40">
    <w:name w:val="Body text (4)"/>
    <w:basedOn w:val="Normal"/>
    <w:link w:val="Bodytext4"/>
    <w:rPr>
      <w:rFonts w:ascii="Times New Roman" w:eastAsia="Times New Roman" w:hAnsi="Times New Roman" w:cs="Times New Roman"/>
      <w:color w:val="404E57"/>
      <w:sz w:val="20"/>
      <w:szCs w:val="20"/>
    </w:rPr>
  </w:style>
  <w:style w:type="paragraph" w:styleId="NormalWeb">
    <w:name w:val="Normal (Web)"/>
    <w:basedOn w:val="Normal"/>
    <w:uiPriority w:val="99"/>
    <w:semiHidden/>
    <w:unhideWhenUsed/>
    <w:rsid w:val="004679CA"/>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J1UlcDKcFnKUZPJDJo2uXu1eA==">CgMxLjA4AHIhMUZxaV83bjFxZXlMVnRsTzZNcEo3UERCbUFlNi1yd1JC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2024-09-27T02:58:00Z</dcterms:created>
  <dcterms:modified xsi:type="dcterms:W3CDTF">2024-09-27T02:58:00Z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75bd12005fd16cb45abc188f3e89601e55ac42d6fc9e9bb78a9a1d48f7c4097b</vt:lpwstr>
  </property>
</Properties>
</file>