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75" w:rsidRPr="008E0B72" w:rsidRDefault="008E0B72">
      <w:pPr>
        <w:keepNext/>
        <w:pBdr>
          <w:top w:val="nil"/>
          <w:left w:val="nil"/>
          <w:bottom w:val="nil"/>
          <w:right w:val="nil"/>
          <w:between w:val="nil"/>
        </w:pBdr>
        <w:spacing w:after="120" w:line="360" w:lineRule="auto"/>
        <w:rPr>
          <w:rFonts w:ascii="Arial" w:eastAsia="Arial" w:hAnsi="Arial" w:cs="Arial"/>
          <w:b/>
          <w:color w:val="010000"/>
          <w:sz w:val="20"/>
          <w:szCs w:val="20"/>
        </w:rPr>
      </w:pPr>
      <w:r w:rsidRPr="008E0B72">
        <w:rPr>
          <w:rFonts w:ascii="Arial" w:hAnsi="Arial"/>
          <w:b/>
          <w:color w:val="010000"/>
          <w:sz w:val="20"/>
        </w:rPr>
        <w:t>PVR: Annual General Mandate 2024</w:t>
      </w:r>
    </w:p>
    <w:p w:rsidR="00125475" w:rsidRPr="008E0B72" w:rsidRDefault="008E0B72">
      <w:pPr>
        <w:keepNext/>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On September 24, 2024, Hanoi PVR Investment Joint Stock Company announced General Mandate No. 129/NQ-DHDCD-PVR as follows:</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Content 1: Shareholders' Eligibility Verification:</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bookmarkStart w:id="0" w:name="_GoBack"/>
      <w:bookmarkEnd w:id="0"/>
      <w:r w:rsidRPr="008E0B72">
        <w:rPr>
          <w:rFonts w:ascii="Arial" w:hAnsi="Arial"/>
          <w:color w:val="010000"/>
          <w:sz w:val="20"/>
        </w:rPr>
        <w:t>Content 2: Approve on the Board of Directors of the Company establishing the Meeting Organizing Committee, the Shareholder's Eligibility Verification Committee, the Vote Counting Committee, the Presidium, the Secretariat of the Meeting, and the personnel list at Proposal No. 95/TTr-HDQT-PVR dated August 26, 2024 of the Board of Directors submitted to the Annual General Meeting of Shareholders 2024.</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Content 3: Approve the agenda and regulations of the Annual General Meeting of Shareholders 2024 of Hanoi PVR Investment Joint Stock Company in Proposal No. 96/TTr-HDQT-PVR of the Board of Directors of the Company submitted to the Annual General Meeting of Shareholders 2024.</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Content 4: The voting results for approval of Reports and Proposals submitted to the Meeting are as follows:</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Article 1: The Annual General Meeting of Shareholders 2024 of Hanoi PVR Investment Joint Stock Company approved the Reports and Proposals of the Board of Directors and the Supervisory Board of the Company with the following contents:</w:t>
      </w:r>
    </w:p>
    <w:p w:rsidR="00125475" w:rsidRPr="008E0B72" w:rsidRDefault="008E0B72">
      <w:pPr>
        <w:numPr>
          <w:ilvl w:val="0"/>
          <w:numId w:val="1"/>
        </w:numPr>
        <w:pBdr>
          <w:top w:val="nil"/>
          <w:left w:val="nil"/>
          <w:bottom w:val="nil"/>
          <w:right w:val="nil"/>
          <w:between w:val="nil"/>
        </w:pBdr>
        <w:tabs>
          <w:tab w:val="left" w:pos="719"/>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Report of the Board of Directors of the Company on evaluating the activities of the Board of Directors of Hanoi PVR Investment Joint Stock Company in 2023 and the development orientation of the production and business plan for 2024.</w:t>
      </w:r>
    </w:p>
    <w:p w:rsidR="00125475" w:rsidRPr="008E0B72" w:rsidRDefault="008E0B72">
      <w:pPr>
        <w:numPr>
          <w:ilvl w:val="0"/>
          <w:numId w:val="1"/>
        </w:numPr>
        <w:pBdr>
          <w:top w:val="nil"/>
          <w:left w:val="nil"/>
          <w:bottom w:val="nil"/>
          <w:right w:val="nil"/>
          <w:between w:val="nil"/>
        </w:pBdr>
        <w:tabs>
          <w:tab w:val="left" w:pos="719"/>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Report of the General Manager of the Company on the production and business results of Hanoi PVR Investment Joint Stock Company in 2023.</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Economic targets</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318"/>
        <w:gridCol w:w="1082"/>
        <w:gridCol w:w="1255"/>
        <w:gridCol w:w="1234"/>
        <w:gridCol w:w="1421"/>
      </w:tblGrid>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No.</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Economy target</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Unit</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Results 2022</w:t>
            </w:r>
          </w:p>
        </w:tc>
        <w:tc>
          <w:tcPr>
            <w:tcW w:w="1234"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Plan 2023</w:t>
            </w:r>
          </w:p>
        </w:tc>
        <w:tc>
          <w:tcPr>
            <w:tcW w:w="1421"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Results of the production and business plan 2023</w:t>
            </w:r>
          </w:p>
        </w:tc>
      </w:tr>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A</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B</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C</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1</w:t>
            </w:r>
          </w:p>
        </w:tc>
        <w:tc>
          <w:tcPr>
            <w:tcW w:w="1234"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2</w:t>
            </w:r>
          </w:p>
        </w:tc>
        <w:tc>
          <w:tcPr>
            <w:tcW w:w="1421"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3</w:t>
            </w:r>
          </w:p>
        </w:tc>
      </w:tr>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1</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Revenue and other income</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Billion VND</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5.9</w:t>
            </w:r>
          </w:p>
        </w:tc>
        <w:tc>
          <w:tcPr>
            <w:tcW w:w="1234"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5.5</w:t>
            </w:r>
          </w:p>
        </w:tc>
        <w:tc>
          <w:tcPr>
            <w:tcW w:w="1421"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0</w:t>
            </w:r>
          </w:p>
        </w:tc>
      </w:tr>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2</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Salary fund expense including remuneration of the Board of Directors and the Supervisory Board</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Billion VND</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0.25</w:t>
            </w:r>
          </w:p>
        </w:tc>
        <w:tc>
          <w:tcPr>
            <w:tcW w:w="1234"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0.1</w:t>
            </w:r>
          </w:p>
        </w:tc>
        <w:tc>
          <w:tcPr>
            <w:tcW w:w="1421"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0</w:t>
            </w:r>
          </w:p>
        </w:tc>
      </w:tr>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3</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Profit before tax</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Billion VND</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(3.83)</w:t>
            </w:r>
          </w:p>
        </w:tc>
        <w:tc>
          <w:tcPr>
            <w:tcW w:w="1234"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0.8</w:t>
            </w:r>
          </w:p>
        </w:tc>
        <w:tc>
          <w:tcPr>
            <w:tcW w:w="1421" w:type="dxa"/>
            <w:shd w:val="clear" w:color="auto" w:fill="auto"/>
            <w:tcMar>
              <w:top w:w="0" w:type="dxa"/>
              <w:bottom w:w="0" w:type="dxa"/>
            </w:tcMar>
            <w:vAlign w:val="center"/>
          </w:tcPr>
          <w:p w:rsidR="00125475" w:rsidRPr="008E0B72" w:rsidRDefault="00125475">
            <w:pPr>
              <w:spacing w:after="120" w:line="360" w:lineRule="auto"/>
              <w:rPr>
                <w:rFonts w:ascii="Arial" w:eastAsia="Arial" w:hAnsi="Arial" w:cs="Arial"/>
                <w:color w:val="010000"/>
                <w:sz w:val="20"/>
                <w:szCs w:val="20"/>
              </w:rPr>
            </w:pPr>
          </w:p>
        </w:tc>
      </w:tr>
      <w:tr w:rsidR="00125475" w:rsidRPr="008E0B72">
        <w:tc>
          <w:tcPr>
            <w:tcW w:w="707"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lastRenderedPageBreak/>
              <w:t>4</w:t>
            </w:r>
          </w:p>
        </w:tc>
        <w:tc>
          <w:tcPr>
            <w:tcW w:w="3318"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Average labor</w:t>
            </w:r>
          </w:p>
        </w:tc>
        <w:tc>
          <w:tcPr>
            <w:tcW w:w="1082"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Person</w:t>
            </w:r>
          </w:p>
        </w:tc>
        <w:tc>
          <w:tcPr>
            <w:tcW w:w="1255"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7</w:t>
            </w:r>
          </w:p>
        </w:tc>
        <w:tc>
          <w:tcPr>
            <w:tcW w:w="1234" w:type="dxa"/>
            <w:shd w:val="clear" w:color="auto" w:fill="auto"/>
            <w:tcMar>
              <w:top w:w="0" w:type="dxa"/>
              <w:bottom w:w="0" w:type="dxa"/>
            </w:tcMar>
            <w:vAlign w:val="center"/>
          </w:tcPr>
          <w:p w:rsidR="00125475" w:rsidRPr="008E0B72" w:rsidRDefault="00125475">
            <w:pPr>
              <w:spacing w:after="120" w:line="360" w:lineRule="auto"/>
              <w:rPr>
                <w:rFonts w:ascii="Arial" w:eastAsia="Arial" w:hAnsi="Arial" w:cs="Arial"/>
                <w:color w:val="010000"/>
                <w:sz w:val="20"/>
                <w:szCs w:val="20"/>
              </w:rPr>
            </w:pPr>
          </w:p>
        </w:tc>
        <w:tc>
          <w:tcPr>
            <w:tcW w:w="1421" w:type="dxa"/>
            <w:shd w:val="clear" w:color="auto" w:fill="auto"/>
            <w:tcMar>
              <w:top w:w="0" w:type="dxa"/>
              <w:bottom w:w="0" w:type="dxa"/>
            </w:tcMar>
            <w:vAlign w:val="center"/>
          </w:tcPr>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8</w:t>
            </w:r>
          </w:p>
        </w:tc>
      </w:tr>
    </w:tbl>
    <w:p w:rsidR="00125475" w:rsidRPr="008E0B72" w:rsidRDefault="008E0B72">
      <w:pPr>
        <w:numPr>
          <w:ilvl w:val="0"/>
          <w:numId w:val="1"/>
        </w:numPr>
        <w:pBdr>
          <w:top w:val="nil"/>
          <w:left w:val="nil"/>
          <w:bottom w:val="nil"/>
          <w:right w:val="nil"/>
          <w:between w:val="nil"/>
        </w:pBdr>
        <w:tabs>
          <w:tab w:val="left" w:pos="719"/>
        </w:tabs>
        <w:spacing w:after="120" w:line="360" w:lineRule="auto"/>
        <w:rPr>
          <w:rFonts w:ascii="Arial" w:eastAsia="Arial" w:hAnsi="Arial" w:cs="Arial"/>
          <w:color w:val="010000"/>
          <w:sz w:val="20"/>
          <w:szCs w:val="20"/>
        </w:rPr>
      </w:pPr>
      <w:r w:rsidRPr="008E0B72">
        <w:rPr>
          <w:rFonts w:ascii="Arial" w:hAnsi="Arial"/>
          <w:color w:val="010000"/>
          <w:sz w:val="20"/>
        </w:rPr>
        <w:t xml:space="preserve">The General Meeting of Shareholders approved the Report of the Supervisory Board on the inspection and monitoring of activities of the Company in 2024 submitted to the General Meeting of Shareholders </w:t>
      </w:r>
    </w:p>
    <w:p w:rsidR="00125475" w:rsidRPr="008E0B72" w:rsidRDefault="008E0B72">
      <w:pPr>
        <w:numPr>
          <w:ilvl w:val="0"/>
          <w:numId w:val="1"/>
        </w:numPr>
        <w:pBdr>
          <w:top w:val="nil"/>
          <w:left w:val="nil"/>
          <w:bottom w:val="nil"/>
          <w:right w:val="nil"/>
          <w:between w:val="nil"/>
        </w:pBdr>
        <w:tabs>
          <w:tab w:val="left" w:pos="719"/>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Report of the Supervisory Board on dismissing and electing members of the Supervisory Board of the Company for the term 2022-2027.</w:t>
      </w:r>
    </w:p>
    <w:p w:rsidR="00125475" w:rsidRPr="008E0B72" w:rsidRDefault="008E0B72">
      <w:pPr>
        <w:numPr>
          <w:ilvl w:val="0"/>
          <w:numId w:val="1"/>
        </w:numPr>
        <w:pBdr>
          <w:top w:val="nil"/>
          <w:left w:val="nil"/>
          <w:bottom w:val="nil"/>
          <w:right w:val="nil"/>
          <w:between w:val="nil"/>
        </w:pBdr>
        <w:tabs>
          <w:tab w:val="left" w:pos="719"/>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Report of the Board of Directors on dismissing and electing members of the Board of Directors of the Company for the term 2022-2027.</w:t>
      </w:r>
    </w:p>
    <w:p w:rsidR="00125475" w:rsidRPr="008E0B72" w:rsidRDefault="008E0B72">
      <w:pPr>
        <w:numPr>
          <w:ilvl w:val="0"/>
          <w:numId w:val="1"/>
        </w:numPr>
        <w:pBdr>
          <w:top w:val="nil"/>
          <w:left w:val="nil"/>
          <w:bottom w:val="nil"/>
          <w:right w:val="nil"/>
          <w:between w:val="nil"/>
        </w:pBdr>
        <w:tabs>
          <w:tab w:val="left" w:pos="657"/>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of the Company on the production and business plan and expected revenue for 2024 of the Company.</w:t>
      </w:r>
    </w:p>
    <w:p w:rsidR="00125475" w:rsidRPr="008E0B72" w:rsidRDefault="008E0B72">
      <w:pPr>
        <w:numPr>
          <w:ilvl w:val="0"/>
          <w:numId w:val="3"/>
        </w:numPr>
        <w:pBdr>
          <w:top w:val="nil"/>
          <w:left w:val="nil"/>
          <w:bottom w:val="nil"/>
          <w:right w:val="nil"/>
          <w:between w:val="nil"/>
        </w:pBdr>
        <w:tabs>
          <w:tab w:val="left" w:pos="906"/>
        </w:tabs>
        <w:spacing w:after="120" w:line="360" w:lineRule="auto"/>
        <w:ind w:left="0" w:firstLine="0"/>
        <w:rPr>
          <w:rFonts w:ascii="Arial" w:eastAsia="Arial" w:hAnsi="Arial" w:cs="Arial"/>
          <w:color w:val="010000"/>
          <w:sz w:val="20"/>
          <w:szCs w:val="20"/>
        </w:rPr>
      </w:pPr>
      <w:r w:rsidRPr="008E0B72">
        <w:rPr>
          <w:rFonts w:ascii="Arial" w:hAnsi="Arial"/>
          <w:color w:val="010000"/>
          <w:sz w:val="20"/>
        </w:rPr>
        <w:t>Revenue: VND0</w:t>
      </w:r>
    </w:p>
    <w:p w:rsidR="00125475" w:rsidRPr="008E0B72" w:rsidRDefault="008E0B72">
      <w:pPr>
        <w:numPr>
          <w:ilvl w:val="0"/>
          <w:numId w:val="3"/>
        </w:numPr>
        <w:pBdr>
          <w:top w:val="nil"/>
          <w:left w:val="nil"/>
          <w:bottom w:val="nil"/>
          <w:right w:val="nil"/>
          <w:between w:val="nil"/>
        </w:pBdr>
        <w:tabs>
          <w:tab w:val="left" w:pos="906"/>
        </w:tabs>
        <w:spacing w:after="120" w:line="360" w:lineRule="auto"/>
        <w:ind w:left="0" w:firstLine="0"/>
        <w:rPr>
          <w:rFonts w:ascii="Arial" w:eastAsia="Arial" w:hAnsi="Arial" w:cs="Arial"/>
          <w:color w:val="010000"/>
          <w:sz w:val="20"/>
          <w:szCs w:val="20"/>
        </w:rPr>
      </w:pPr>
      <w:r w:rsidRPr="008E0B72">
        <w:rPr>
          <w:rFonts w:ascii="Arial" w:hAnsi="Arial"/>
          <w:color w:val="010000"/>
          <w:sz w:val="20"/>
        </w:rPr>
        <w:t>Profit: VND(2.6) billion.</w:t>
      </w:r>
    </w:p>
    <w:p w:rsidR="00125475" w:rsidRPr="008E0B72" w:rsidRDefault="008E0B72">
      <w:pPr>
        <w:numPr>
          <w:ilvl w:val="0"/>
          <w:numId w:val="1"/>
        </w:numPr>
        <w:pBdr>
          <w:top w:val="nil"/>
          <w:left w:val="nil"/>
          <w:bottom w:val="nil"/>
          <w:right w:val="nil"/>
          <w:between w:val="nil"/>
        </w:pBdr>
        <w:tabs>
          <w:tab w:val="left" w:pos="657"/>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on the remuneration expenses for the Board of Directors and the Supervisory Board of the Company in 2023; Expected remuneration for the Board of Directors and the Supervisory Board of the Company in 2024 and other expenses.</w:t>
      </w:r>
    </w:p>
    <w:p w:rsidR="00125475" w:rsidRPr="008E0B72" w:rsidRDefault="008E0B72">
      <w:pPr>
        <w:numPr>
          <w:ilvl w:val="0"/>
          <w:numId w:val="1"/>
        </w:numPr>
        <w:pBdr>
          <w:top w:val="nil"/>
          <w:left w:val="nil"/>
          <w:bottom w:val="nil"/>
          <w:right w:val="nil"/>
          <w:between w:val="nil"/>
        </w:pBdr>
        <w:tabs>
          <w:tab w:val="left" w:pos="657"/>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of the Company on the Audited Financial Statements 2023.</w:t>
      </w:r>
    </w:p>
    <w:p w:rsidR="00125475" w:rsidRPr="008E0B72" w:rsidRDefault="008E0B72">
      <w:pPr>
        <w:numPr>
          <w:ilvl w:val="0"/>
          <w:numId w:val="1"/>
        </w:numPr>
        <w:pBdr>
          <w:top w:val="nil"/>
          <w:left w:val="nil"/>
          <w:bottom w:val="nil"/>
          <w:right w:val="nil"/>
          <w:between w:val="nil"/>
        </w:pBdr>
        <w:tabs>
          <w:tab w:val="left" w:pos="657"/>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of the Company on selecting the audit company for the Financial Statements 2024.</w:t>
      </w:r>
    </w:p>
    <w:p w:rsidR="00125475" w:rsidRPr="008E0B72" w:rsidRDefault="008E0B72">
      <w:pPr>
        <w:numPr>
          <w:ilvl w:val="0"/>
          <w:numId w:val="1"/>
        </w:numPr>
        <w:pBdr>
          <w:top w:val="nil"/>
          <w:left w:val="nil"/>
          <w:bottom w:val="nil"/>
          <w:right w:val="nil"/>
          <w:between w:val="nil"/>
        </w:pBdr>
        <w:tabs>
          <w:tab w:val="left" w:pos="730"/>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of the Company on changing the Headquarters’ address and adjusting the business line codes of the Company according to regulations.</w:t>
      </w:r>
    </w:p>
    <w:p w:rsidR="00125475" w:rsidRPr="008E0B72" w:rsidRDefault="008E0B72">
      <w:pPr>
        <w:numPr>
          <w:ilvl w:val="0"/>
          <w:numId w:val="1"/>
        </w:numPr>
        <w:pBdr>
          <w:top w:val="nil"/>
          <w:left w:val="nil"/>
          <w:bottom w:val="nil"/>
          <w:right w:val="nil"/>
          <w:between w:val="nil"/>
        </w:pBdr>
        <w:tabs>
          <w:tab w:val="left" w:pos="734"/>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Proposal of the Board of Directors of the Company on the temporary suspension of the business operations of the Company.</w:t>
      </w:r>
    </w:p>
    <w:p w:rsidR="00125475" w:rsidRPr="008E0B72" w:rsidRDefault="008E0B72">
      <w:pPr>
        <w:numPr>
          <w:ilvl w:val="0"/>
          <w:numId w:val="1"/>
        </w:numPr>
        <w:pBdr>
          <w:top w:val="nil"/>
          <w:left w:val="nil"/>
          <w:bottom w:val="nil"/>
          <w:right w:val="nil"/>
          <w:between w:val="nil"/>
        </w:pBdr>
        <w:tabs>
          <w:tab w:val="left" w:pos="734"/>
        </w:tabs>
        <w:spacing w:after="120" w:line="360" w:lineRule="auto"/>
        <w:rPr>
          <w:rFonts w:ascii="Arial" w:eastAsia="Arial" w:hAnsi="Arial" w:cs="Arial"/>
          <w:color w:val="010000"/>
          <w:sz w:val="20"/>
          <w:szCs w:val="20"/>
        </w:rPr>
      </w:pPr>
      <w:r w:rsidRPr="008E0B72">
        <w:rPr>
          <w:rFonts w:ascii="Arial" w:hAnsi="Arial"/>
          <w:color w:val="010000"/>
          <w:sz w:val="20"/>
        </w:rPr>
        <w:t>The General Meeting of Shareholders approved the Report of the Board of Directors on the request for approval to cancel the listing of securities on the Upcom Exchange.</w:t>
      </w:r>
    </w:p>
    <w:p w:rsidR="00125475" w:rsidRPr="008E0B72" w:rsidRDefault="008E0B72">
      <w:pPr>
        <w:numPr>
          <w:ilvl w:val="0"/>
          <w:numId w:val="1"/>
        </w:numPr>
        <w:pBdr>
          <w:top w:val="nil"/>
          <w:left w:val="nil"/>
          <w:bottom w:val="nil"/>
          <w:right w:val="nil"/>
          <w:between w:val="nil"/>
        </w:pBdr>
        <w:tabs>
          <w:tab w:val="left" w:pos="730"/>
        </w:tabs>
        <w:spacing w:after="120" w:line="360" w:lineRule="auto"/>
        <w:rPr>
          <w:rFonts w:ascii="Arial" w:eastAsia="Arial" w:hAnsi="Arial" w:cs="Arial"/>
          <w:color w:val="010000"/>
          <w:sz w:val="20"/>
          <w:szCs w:val="20"/>
        </w:rPr>
      </w:pPr>
      <w:r w:rsidRPr="008E0B72">
        <w:rPr>
          <w:rFonts w:ascii="Arial" w:hAnsi="Arial"/>
          <w:color w:val="010000"/>
          <w:sz w:val="20"/>
        </w:rPr>
        <w:t xml:space="preserve">The General Meeting of Shareholders approved the Proposal of the Board of Directors of the Company on the plan on sending invitation Notice for the General Meeting of Shareholders </w:t>
      </w:r>
    </w:p>
    <w:p w:rsidR="00125475" w:rsidRPr="008E0B72" w:rsidRDefault="008E0B72">
      <w:pPr>
        <w:pBdr>
          <w:top w:val="nil"/>
          <w:left w:val="nil"/>
          <w:bottom w:val="nil"/>
          <w:right w:val="nil"/>
          <w:between w:val="nil"/>
        </w:pBdr>
        <w:tabs>
          <w:tab w:val="left" w:pos="730"/>
        </w:tabs>
        <w:spacing w:after="120" w:line="360" w:lineRule="auto"/>
        <w:rPr>
          <w:rFonts w:ascii="Arial" w:eastAsia="Arial" w:hAnsi="Arial" w:cs="Arial"/>
          <w:color w:val="010000"/>
          <w:sz w:val="20"/>
          <w:szCs w:val="20"/>
        </w:rPr>
      </w:pPr>
      <w:r w:rsidRPr="008E0B72">
        <w:rPr>
          <w:rFonts w:ascii="Arial" w:hAnsi="Arial"/>
          <w:color w:val="010000"/>
          <w:sz w:val="20"/>
        </w:rPr>
        <w:t>Article 2: The General Meeting of Hanoi PVR Investment Joint Stock Company approved:</w:t>
      </w:r>
    </w:p>
    <w:p w:rsidR="00125475" w:rsidRPr="008E0B72" w:rsidRDefault="008E0B72">
      <w:pPr>
        <w:numPr>
          <w:ilvl w:val="0"/>
          <w:numId w:val="2"/>
        </w:numPr>
        <w:pBdr>
          <w:top w:val="nil"/>
          <w:left w:val="nil"/>
          <w:bottom w:val="nil"/>
          <w:right w:val="nil"/>
          <w:between w:val="nil"/>
        </w:pBdr>
        <w:tabs>
          <w:tab w:val="left" w:pos="696"/>
        </w:tabs>
        <w:spacing w:after="120" w:line="360" w:lineRule="auto"/>
        <w:rPr>
          <w:rFonts w:ascii="Arial" w:eastAsia="Arial" w:hAnsi="Arial" w:cs="Arial"/>
          <w:color w:val="010000"/>
          <w:sz w:val="20"/>
          <w:szCs w:val="20"/>
        </w:rPr>
      </w:pPr>
      <w:r w:rsidRPr="008E0B72">
        <w:rPr>
          <w:rFonts w:ascii="Arial" w:hAnsi="Arial"/>
          <w:color w:val="010000"/>
          <w:sz w:val="20"/>
        </w:rPr>
        <w:t xml:space="preserve">Approve the Regulations. </w:t>
      </w:r>
    </w:p>
    <w:p w:rsidR="00125475" w:rsidRPr="008E0B72" w:rsidRDefault="008E0B72">
      <w:pPr>
        <w:numPr>
          <w:ilvl w:val="0"/>
          <w:numId w:val="2"/>
        </w:numPr>
        <w:pBdr>
          <w:top w:val="nil"/>
          <w:left w:val="nil"/>
          <w:bottom w:val="nil"/>
          <w:right w:val="nil"/>
          <w:between w:val="nil"/>
        </w:pBdr>
        <w:tabs>
          <w:tab w:val="left" w:pos="696"/>
        </w:tabs>
        <w:spacing w:after="120" w:line="360" w:lineRule="auto"/>
        <w:rPr>
          <w:rFonts w:ascii="Arial" w:eastAsia="Arial" w:hAnsi="Arial" w:cs="Arial"/>
          <w:color w:val="010000"/>
          <w:sz w:val="20"/>
          <w:szCs w:val="20"/>
        </w:rPr>
      </w:pPr>
      <w:r w:rsidRPr="008E0B72">
        <w:rPr>
          <w:rFonts w:ascii="Arial" w:hAnsi="Arial"/>
          <w:color w:val="010000"/>
          <w:sz w:val="20"/>
        </w:rPr>
        <w:t xml:space="preserve">Approve the Reports, Proposals </w:t>
      </w:r>
    </w:p>
    <w:p w:rsidR="00125475" w:rsidRPr="008E0B72" w:rsidRDefault="008E0B72">
      <w:pPr>
        <w:numPr>
          <w:ilvl w:val="0"/>
          <w:numId w:val="2"/>
        </w:numPr>
        <w:pBdr>
          <w:top w:val="nil"/>
          <w:left w:val="nil"/>
          <w:bottom w:val="nil"/>
          <w:right w:val="nil"/>
          <w:between w:val="nil"/>
        </w:pBdr>
        <w:tabs>
          <w:tab w:val="left" w:pos="696"/>
        </w:tabs>
        <w:spacing w:after="120" w:line="360" w:lineRule="auto"/>
        <w:rPr>
          <w:rFonts w:ascii="Arial" w:eastAsia="Arial" w:hAnsi="Arial" w:cs="Arial"/>
          <w:color w:val="010000"/>
          <w:sz w:val="20"/>
          <w:szCs w:val="20"/>
        </w:rPr>
      </w:pPr>
      <w:r w:rsidRPr="008E0B72">
        <w:rPr>
          <w:rFonts w:ascii="Arial" w:hAnsi="Arial"/>
          <w:color w:val="010000"/>
          <w:sz w:val="20"/>
        </w:rPr>
        <w:t>Approve the Minutes, Resolutions</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 xml:space="preserve">The Annual General Meeting of Shareholders 2024 approved Regulations, Reports, Proposals, and </w:t>
      </w:r>
      <w:r w:rsidRPr="008E0B72">
        <w:rPr>
          <w:rFonts w:ascii="Arial" w:hAnsi="Arial"/>
          <w:color w:val="010000"/>
          <w:sz w:val="20"/>
        </w:rPr>
        <w:lastRenderedPageBreak/>
        <w:t>Minutes submitted at the Annual General Meeting of Shareholders 2024, the Annual General Meeting of Shareholders 2024 assigned the Board of Directors of Hanoi PVR Investment Joint Stock Company to implement all contents of Regulations, Reports, Proposals, Minutes approved by the Annual General Meeting of Shareholders in accordance ith the regulations.</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Article 3: This General Mandate was approved in full text at the Annual General Meeting of Shareholders 2024 of Hanoi PVR Investment Joint Stock Company on September 24, 2024.</w:t>
      </w:r>
    </w:p>
    <w:p w:rsidR="00125475" w:rsidRPr="008E0B72" w:rsidRDefault="008E0B72">
      <w:pPr>
        <w:pBdr>
          <w:top w:val="nil"/>
          <w:left w:val="nil"/>
          <w:bottom w:val="nil"/>
          <w:right w:val="nil"/>
          <w:between w:val="nil"/>
        </w:pBdr>
        <w:spacing w:after="120" w:line="360" w:lineRule="auto"/>
        <w:rPr>
          <w:rFonts w:ascii="Arial" w:eastAsia="Arial" w:hAnsi="Arial" w:cs="Arial"/>
          <w:color w:val="010000"/>
          <w:sz w:val="20"/>
          <w:szCs w:val="20"/>
        </w:rPr>
      </w:pPr>
      <w:r w:rsidRPr="008E0B72">
        <w:rPr>
          <w:rFonts w:ascii="Arial" w:hAnsi="Arial"/>
          <w:color w:val="010000"/>
          <w:sz w:val="20"/>
        </w:rPr>
        <w:t>Article 4. The Annual General Meeting of Shareholders 2024, the Board of Directors, the Supervisory Board, the Board of Managers, Heads of functional departments/divisions, the capital representative at Companies with contributed capital of Hanoi PVR Investment Joint Stock Company, relevant units and individuals contributing capital, and joint ventures are responsible for implementing this General Mandate./.</w:t>
      </w:r>
    </w:p>
    <w:sectPr w:rsidR="00125475" w:rsidRPr="008E0B72">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41A91"/>
    <w:multiLevelType w:val="multilevel"/>
    <w:tmpl w:val="E576898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F223E2A"/>
    <w:multiLevelType w:val="multilevel"/>
    <w:tmpl w:val="09AC8CF8"/>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5E53441"/>
    <w:multiLevelType w:val="multilevel"/>
    <w:tmpl w:val="A5B216A0"/>
    <w:lvl w:ilvl="0">
      <w:start w:val="4"/>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75"/>
    <w:rsid w:val="00035BD7"/>
    <w:rsid w:val="00125475"/>
    <w:rsid w:val="008E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1A26BA-2A22-4465-876A-A23D359E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iCs/>
      <w:smallCaps w:val="0"/>
      <w:strike w:val="0"/>
      <w:color w:val="BB5066"/>
      <w:sz w:val="15"/>
      <w:szCs w:val="15"/>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BB5066"/>
      <w:sz w:val="18"/>
      <w:szCs w:val="18"/>
      <w:u w:val="none"/>
      <w:shd w:val="clear" w:color="auto" w:fill="auto"/>
    </w:rPr>
  </w:style>
  <w:style w:type="character" w:customStyle="1" w:styleId="Vnbnnidung4">
    <w:name w:val="Văn bản nội dung (4)_"/>
    <w:basedOn w:val="DefaultParagraphFont"/>
    <w:link w:val="Vnbnnidung40"/>
    <w:rPr>
      <w:rFonts w:ascii="Verdana" w:eastAsia="Verdana" w:hAnsi="Verdana" w:cs="Verdana"/>
      <w:b w:val="0"/>
      <w:bCs w:val="0"/>
      <w:i w:val="0"/>
      <w:iCs w:val="0"/>
      <w:smallCaps w:val="0"/>
      <w:strike w:val="0"/>
      <w:color w:val="BB5066"/>
      <w:sz w:val="18"/>
      <w:szCs w:val="1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color w:val="EBEBEB"/>
      <w:sz w:val="52"/>
      <w:szCs w:val="52"/>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02" w:lineRule="auto"/>
    </w:pPr>
    <w:rPr>
      <w:rFonts w:ascii="Times New Roman" w:eastAsia="Times New Roman" w:hAnsi="Times New Roman" w:cs="Times New Roman"/>
      <w:sz w:val="22"/>
      <w:szCs w:val="22"/>
    </w:rPr>
  </w:style>
  <w:style w:type="paragraph" w:customStyle="1" w:styleId="Vnbnnidung50">
    <w:name w:val="Văn bản nội dung (5)"/>
    <w:basedOn w:val="Normal"/>
    <w:link w:val="Vnbnnidung5"/>
    <w:rPr>
      <w:rFonts w:ascii="Arial" w:eastAsia="Arial" w:hAnsi="Arial" w:cs="Arial"/>
      <w:i/>
      <w:iCs/>
      <w:color w:val="BB5066"/>
      <w:sz w:val="15"/>
      <w:szCs w:val="15"/>
    </w:rPr>
  </w:style>
  <w:style w:type="paragraph" w:customStyle="1" w:styleId="Vnbnnidung30">
    <w:name w:val="Văn bản nội dung (3)"/>
    <w:basedOn w:val="Normal"/>
    <w:link w:val="Vnbnnidung3"/>
    <w:pPr>
      <w:spacing w:line="283" w:lineRule="auto"/>
      <w:jc w:val="right"/>
    </w:pPr>
    <w:rPr>
      <w:rFonts w:ascii="Arial" w:eastAsia="Arial" w:hAnsi="Arial" w:cs="Arial"/>
      <w:color w:val="BB5066"/>
      <w:sz w:val="18"/>
      <w:szCs w:val="18"/>
    </w:rPr>
  </w:style>
  <w:style w:type="paragraph" w:customStyle="1" w:styleId="Vnbnnidung40">
    <w:name w:val="Văn bản nội dung (4)"/>
    <w:basedOn w:val="Normal"/>
    <w:link w:val="Vnbnnidung4"/>
    <w:pPr>
      <w:spacing w:line="269" w:lineRule="auto"/>
      <w:ind w:firstLine="300"/>
    </w:pPr>
    <w:rPr>
      <w:rFonts w:ascii="Verdana" w:eastAsia="Verdana" w:hAnsi="Verdana" w:cs="Verdana"/>
      <w:color w:val="BB5066"/>
      <w:sz w:val="18"/>
      <w:szCs w:val="18"/>
    </w:rPr>
  </w:style>
  <w:style w:type="paragraph" w:customStyle="1" w:styleId="Tiu20">
    <w:name w:val="Tiêu đề #2"/>
    <w:basedOn w:val="Normal"/>
    <w:link w:val="Tiu2"/>
    <w:pPr>
      <w:spacing w:line="247" w:lineRule="auto"/>
      <w:jc w:val="center"/>
      <w:outlineLvl w:val="1"/>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348" w:lineRule="auto"/>
    </w:pPr>
    <w:rPr>
      <w:rFonts w:ascii="Arial" w:eastAsia="Arial" w:hAnsi="Arial" w:cs="Arial"/>
      <w:sz w:val="22"/>
      <w:szCs w:val="22"/>
    </w:rPr>
  </w:style>
  <w:style w:type="paragraph" w:customStyle="1" w:styleId="Tiu10">
    <w:name w:val="Tiêu đề #1"/>
    <w:basedOn w:val="Normal"/>
    <w:link w:val="Tiu1"/>
    <w:pPr>
      <w:jc w:val="right"/>
      <w:outlineLvl w:val="0"/>
    </w:pPr>
    <w:rPr>
      <w:rFonts w:ascii="Arial" w:eastAsia="Arial" w:hAnsi="Arial" w:cs="Arial"/>
      <w:b/>
      <w:bCs/>
      <w:color w:val="EBEBEB"/>
      <w:sz w:val="52"/>
      <w:szCs w:val="52"/>
    </w:rPr>
  </w:style>
  <w:style w:type="paragraph" w:customStyle="1" w:styleId="Vnbnnidung60">
    <w:name w:val="Văn bản nội dung (6)"/>
    <w:basedOn w:val="Normal"/>
    <w:link w:val="Vnbnnidung6"/>
    <w:pPr>
      <w:jc w:val="center"/>
    </w:pPr>
    <w:rPr>
      <w:rFonts w:ascii="Times New Roman" w:eastAsia="Times New Roman" w:hAnsi="Times New Roman" w:cs="Times New Roman"/>
      <w:b/>
      <w:bCs/>
      <w:sz w:val="28"/>
      <w:szCs w:val="28"/>
    </w:rPr>
  </w:style>
  <w:style w:type="paragraph" w:customStyle="1" w:styleId="Tiu30">
    <w:name w:val="Tiêu đề #3"/>
    <w:basedOn w:val="Normal"/>
    <w:link w:val="Tiu3"/>
    <w:pPr>
      <w:outlineLvl w:val="2"/>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pPr>
      <w:spacing w:line="302" w:lineRule="auto"/>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l6BrK/C4jzh+NLLSAyedoL42Q==">CgMxLjA4AHIhMUxfYUVWUWRoMlJHVTZPZHIyNEd5Q3A3S0lNSnRuX1A0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2024-09-30T02:51:00Z</dcterms:created>
  <dcterms:modified xsi:type="dcterms:W3CDTF">2024-09-30T02:51:00Z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d24b0d5ed266c679ec9c9a64f83b032ecda091f6b79b6b818544c47b6e7bfa3c</vt:lpwstr>
  </property>
</Properties>
</file>