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CD00EDE" w:rsidR="00AB134B" w:rsidRPr="008D5708" w:rsidRDefault="008D5708" w:rsidP="004E5120">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8D5708">
        <w:rPr>
          <w:rFonts w:ascii="Arial" w:hAnsi="Arial" w:cs="Arial"/>
          <w:b/>
          <w:color w:val="010000"/>
          <w:sz w:val="20"/>
        </w:rPr>
        <w:t>TLT: Board Resolution</w:t>
      </w:r>
    </w:p>
    <w:p w14:paraId="00000002" w14:textId="0BFB83A7" w:rsidR="00AB134B" w:rsidRPr="008D5708" w:rsidRDefault="008D5708" w:rsidP="004E512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D5708">
        <w:rPr>
          <w:rFonts w:ascii="Arial" w:hAnsi="Arial" w:cs="Arial"/>
          <w:color w:val="010000"/>
          <w:sz w:val="20"/>
        </w:rPr>
        <w:t xml:space="preserve">On September 24, 2024, Viglacera Thanglong JSC announced Resolution </w:t>
      </w:r>
      <w:r w:rsidR="007B75C5" w:rsidRPr="008D5708">
        <w:rPr>
          <w:rFonts w:ascii="Arial" w:hAnsi="Arial" w:cs="Arial"/>
          <w:color w:val="010000"/>
          <w:sz w:val="20"/>
        </w:rPr>
        <w:t xml:space="preserve">No. </w:t>
      </w:r>
      <w:r w:rsidRPr="008D5708">
        <w:rPr>
          <w:rFonts w:ascii="Arial" w:hAnsi="Arial" w:cs="Arial"/>
          <w:color w:val="010000"/>
          <w:sz w:val="20"/>
        </w:rPr>
        <w:t>25/TLT-HDQT on organizing the Extraordinary General Meeting of Shareholders 2024 as follows:</w:t>
      </w:r>
    </w:p>
    <w:p w14:paraId="00000003" w14:textId="77777777" w:rsidR="00AB134B" w:rsidRPr="008D5708" w:rsidRDefault="008D5708" w:rsidP="004E512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D5708">
        <w:rPr>
          <w:rFonts w:ascii="Arial" w:hAnsi="Arial" w:cs="Arial"/>
          <w:color w:val="010000"/>
          <w:sz w:val="20"/>
        </w:rPr>
        <w:t>Article 1: Agree to organize the General Meeting of Shareholders 2024 to re-elect the members of the Board of Directors of the Company:</w:t>
      </w:r>
    </w:p>
    <w:p w14:paraId="00000004" w14:textId="77777777" w:rsidR="00AB134B" w:rsidRPr="008D5708" w:rsidRDefault="008D5708" w:rsidP="004E5120">
      <w:pPr>
        <w:numPr>
          <w:ilvl w:val="0"/>
          <w:numId w:val="1"/>
        </w:numPr>
        <w:pBdr>
          <w:top w:val="nil"/>
          <w:left w:val="nil"/>
          <w:bottom w:val="nil"/>
          <w:right w:val="nil"/>
          <w:between w:val="nil"/>
        </w:pBdr>
        <w:tabs>
          <w:tab w:val="left" w:pos="432"/>
          <w:tab w:val="left" w:pos="942"/>
        </w:tabs>
        <w:spacing w:after="120" w:line="360" w:lineRule="auto"/>
        <w:jc w:val="both"/>
        <w:rPr>
          <w:rFonts w:ascii="Arial" w:eastAsia="Arial" w:hAnsi="Arial" w:cs="Arial"/>
          <w:color w:val="010000"/>
          <w:sz w:val="20"/>
          <w:szCs w:val="20"/>
        </w:rPr>
      </w:pPr>
      <w:r w:rsidRPr="008D5708">
        <w:rPr>
          <w:rFonts w:ascii="Arial" w:hAnsi="Arial" w:cs="Arial"/>
          <w:color w:val="010000"/>
          <w:sz w:val="20"/>
        </w:rPr>
        <w:t>Record date: October 14, 2024</w:t>
      </w:r>
    </w:p>
    <w:p w14:paraId="00000005" w14:textId="1284CF03" w:rsidR="00AB134B" w:rsidRPr="008D5708" w:rsidRDefault="008D5708" w:rsidP="004E5120">
      <w:pPr>
        <w:numPr>
          <w:ilvl w:val="0"/>
          <w:numId w:val="1"/>
        </w:numPr>
        <w:pBdr>
          <w:top w:val="nil"/>
          <w:left w:val="nil"/>
          <w:bottom w:val="nil"/>
          <w:right w:val="nil"/>
          <w:between w:val="nil"/>
        </w:pBdr>
        <w:tabs>
          <w:tab w:val="left" w:pos="432"/>
          <w:tab w:val="left" w:pos="952"/>
        </w:tabs>
        <w:spacing w:after="120" w:line="360" w:lineRule="auto"/>
        <w:jc w:val="both"/>
        <w:rPr>
          <w:rFonts w:ascii="Arial" w:eastAsia="Arial" w:hAnsi="Arial" w:cs="Arial"/>
          <w:color w:val="010000"/>
          <w:sz w:val="20"/>
          <w:szCs w:val="20"/>
        </w:rPr>
      </w:pPr>
      <w:r w:rsidRPr="008D5708">
        <w:rPr>
          <w:rFonts w:ascii="Arial" w:hAnsi="Arial" w:cs="Arial"/>
          <w:color w:val="010000"/>
          <w:sz w:val="20"/>
        </w:rPr>
        <w:t>Exercise rate: shareholders receive 1 voting right for ea</w:t>
      </w:r>
      <w:bookmarkStart w:id="0" w:name="_GoBack"/>
      <w:bookmarkEnd w:id="0"/>
      <w:r w:rsidRPr="008D5708">
        <w:rPr>
          <w:rFonts w:ascii="Arial" w:hAnsi="Arial" w:cs="Arial"/>
          <w:color w:val="010000"/>
          <w:sz w:val="20"/>
        </w:rPr>
        <w:t>ch share they own</w:t>
      </w:r>
    </w:p>
    <w:p w14:paraId="00000006" w14:textId="77777777" w:rsidR="00AB134B" w:rsidRPr="008D5708" w:rsidRDefault="008D5708" w:rsidP="004E5120">
      <w:pPr>
        <w:numPr>
          <w:ilvl w:val="0"/>
          <w:numId w:val="1"/>
        </w:numPr>
        <w:pBdr>
          <w:top w:val="nil"/>
          <w:left w:val="nil"/>
          <w:bottom w:val="nil"/>
          <w:right w:val="nil"/>
          <w:between w:val="nil"/>
        </w:pBdr>
        <w:tabs>
          <w:tab w:val="left" w:pos="432"/>
          <w:tab w:val="left" w:pos="963"/>
        </w:tabs>
        <w:spacing w:after="120" w:line="360" w:lineRule="auto"/>
        <w:jc w:val="both"/>
        <w:rPr>
          <w:rFonts w:ascii="Arial" w:eastAsia="Arial" w:hAnsi="Arial" w:cs="Arial"/>
          <w:color w:val="010000"/>
          <w:sz w:val="20"/>
          <w:szCs w:val="20"/>
        </w:rPr>
      </w:pPr>
      <w:r w:rsidRPr="008D5708">
        <w:rPr>
          <w:rFonts w:ascii="Arial" w:hAnsi="Arial" w:cs="Arial"/>
          <w:color w:val="010000"/>
          <w:sz w:val="20"/>
        </w:rPr>
        <w:t>Implementation time: Expected from November 11, 2024, to November 20, 2024</w:t>
      </w:r>
    </w:p>
    <w:p w14:paraId="00000007" w14:textId="77777777" w:rsidR="00AB134B" w:rsidRPr="008D5708" w:rsidRDefault="008D5708" w:rsidP="004E5120">
      <w:pPr>
        <w:numPr>
          <w:ilvl w:val="0"/>
          <w:numId w:val="1"/>
        </w:numPr>
        <w:pBdr>
          <w:top w:val="nil"/>
          <w:left w:val="nil"/>
          <w:bottom w:val="nil"/>
          <w:right w:val="nil"/>
          <w:between w:val="nil"/>
        </w:pBdr>
        <w:tabs>
          <w:tab w:val="left" w:pos="432"/>
          <w:tab w:val="left" w:pos="952"/>
        </w:tabs>
        <w:spacing w:after="120" w:line="360" w:lineRule="auto"/>
        <w:jc w:val="both"/>
        <w:rPr>
          <w:rFonts w:ascii="Arial" w:eastAsia="Arial" w:hAnsi="Arial" w:cs="Arial"/>
          <w:color w:val="010000"/>
          <w:sz w:val="20"/>
          <w:szCs w:val="20"/>
        </w:rPr>
      </w:pPr>
      <w:r w:rsidRPr="008D5708">
        <w:rPr>
          <w:rFonts w:ascii="Arial" w:hAnsi="Arial" w:cs="Arial"/>
          <w:color w:val="010000"/>
          <w:sz w:val="20"/>
        </w:rPr>
        <w:t>Venue: Headquarters of Viglacera Thanglong JSC</w:t>
      </w:r>
    </w:p>
    <w:p w14:paraId="00000008" w14:textId="77777777" w:rsidR="00AB134B" w:rsidRPr="008D5708" w:rsidRDefault="008D5708" w:rsidP="004E5120">
      <w:pPr>
        <w:numPr>
          <w:ilvl w:val="0"/>
          <w:numId w:val="1"/>
        </w:numPr>
        <w:pBdr>
          <w:top w:val="nil"/>
          <w:left w:val="nil"/>
          <w:bottom w:val="nil"/>
          <w:right w:val="nil"/>
          <w:between w:val="nil"/>
        </w:pBdr>
        <w:tabs>
          <w:tab w:val="left" w:pos="432"/>
          <w:tab w:val="left" w:pos="952"/>
        </w:tabs>
        <w:spacing w:after="120" w:line="360" w:lineRule="auto"/>
        <w:jc w:val="both"/>
        <w:rPr>
          <w:rFonts w:ascii="Arial" w:eastAsia="Arial" w:hAnsi="Arial" w:cs="Arial"/>
          <w:color w:val="010000"/>
          <w:sz w:val="20"/>
          <w:szCs w:val="20"/>
        </w:rPr>
      </w:pPr>
      <w:r w:rsidRPr="008D5708">
        <w:rPr>
          <w:rFonts w:ascii="Arial" w:hAnsi="Arial" w:cs="Arial"/>
          <w:color w:val="010000"/>
          <w:sz w:val="20"/>
        </w:rPr>
        <w:t>Address: Phuc Thang Ward - Phuc Yen City - Vinh Phuc Province</w:t>
      </w:r>
    </w:p>
    <w:p w14:paraId="00000009" w14:textId="77777777" w:rsidR="00AB134B" w:rsidRPr="008D5708" w:rsidRDefault="008D5708" w:rsidP="004E5120">
      <w:pPr>
        <w:numPr>
          <w:ilvl w:val="0"/>
          <w:numId w:val="1"/>
        </w:numPr>
        <w:pBdr>
          <w:top w:val="nil"/>
          <w:left w:val="nil"/>
          <w:bottom w:val="nil"/>
          <w:right w:val="nil"/>
          <w:between w:val="nil"/>
        </w:pBdr>
        <w:tabs>
          <w:tab w:val="left" w:pos="432"/>
          <w:tab w:val="left" w:pos="952"/>
        </w:tabs>
        <w:spacing w:after="120" w:line="360" w:lineRule="auto"/>
        <w:jc w:val="both"/>
        <w:rPr>
          <w:rFonts w:ascii="Arial" w:eastAsia="Arial" w:hAnsi="Arial" w:cs="Arial"/>
          <w:color w:val="010000"/>
          <w:sz w:val="20"/>
          <w:szCs w:val="20"/>
        </w:rPr>
      </w:pPr>
      <w:r w:rsidRPr="008D5708">
        <w:rPr>
          <w:rFonts w:ascii="Arial" w:hAnsi="Arial" w:cs="Arial"/>
          <w:color w:val="010000"/>
          <w:sz w:val="20"/>
        </w:rPr>
        <w:t>Meeting contents: According to the contents under the authority of the General Meeting of Shareholders</w:t>
      </w:r>
    </w:p>
    <w:p w14:paraId="0000000A" w14:textId="0C0657D9" w:rsidR="00AB134B" w:rsidRPr="008D5708" w:rsidRDefault="008D5708" w:rsidP="004E512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D5708">
        <w:rPr>
          <w:rFonts w:ascii="Arial" w:hAnsi="Arial" w:cs="Arial"/>
          <w:color w:val="010000"/>
          <w:sz w:val="20"/>
        </w:rPr>
        <w:t>Article 2: Assign the Manager of the Company, the Secretariat of the Board of Directors, in collaboration with professional departments and the Foreman of the Company's production units, to organize the General Meeting.</w:t>
      </w:r>
    </w:p>
    <w:p w14:paraId="0000000B" w14:textId="77777777" w:rsidR="00AB134B" w:rsidRPr="008D5708" w:rsidRDefault="008D5708" w:rsidP="004E512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D5708">
        <w:rPr>
          <w:rFonts w:ascii="Arial" w:hAnsi="Arial" w:cs="Arial"/>
          <w:color w:val="010000"/>
          <w:sz w:val="20"/>
        </w:rPr>
        <w:t>Article 3: This Resolution takes effect from the date of its signing. Members of the Board of Directors, the Board of Managers, the Chief Accountant, Heads of professional Departments, and the Foreman of production units are responsible for the implementation of this Resolution.</w:t>
      </w:r>
    </w:p>
    <w:sectPr w:rsidR="00AB134B" w:rsidRPr="008D5708" w:rsidSect="007B75C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D1CBF"/>
    <w:multiLevelType w:val="multilevel"/>
    <w:tmpl w:val="23AE4D4C"/>
    <w:lvl w:ilvl="0">
      <w:start w:val="1"/>
      <w:numFmt w:val="bullet"/>
      <w:lvlText w:val="-"/>
      <w:lvlJc w:val="left"/>
      <w:pPr>
        <w:ind w:left="0" w:firstLine="0"/>
      </w:pPr>
      <w:rPr>
        <w:rFonts w:ascii="Arial" w:eastAsia="Arial" w:hAnsi="Arial" w:cs="Arial"/>
        <w:b w:val="0"/>
        <w:i w:val="0"/>
        <w:smallCaps w:val="0"/>
        <w:strike w:val="0"/>
        <w:color w:val="18171D"/>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4B"/>
    <w:rsid w:val="004E5120"/>
    <w:rsid w:val="007B75C5"/>
    <w:rsid w:val="008D5708"/>
    <w:rsid w:val="00AB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E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36"/>
      <w:szCs w:val="3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8171D"/>
      <w:sz w:val="26"/>
      <w:szCs w:val="26"/>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3"/>
      <w:szCs w:val="13"/>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color w:val="18171D"/>
      <w:sz w:val="30"/>
      <w:szCs w:val="30"/>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color w:val="18171D"/>
      <w:sz w:val="19"/>
      <w:szCs w:val="19"/>
      <w:u w:val="none"/>
      <w:shd w:val="clear" w:color="auto" w:fill="auto"/>
    </w:rPr>
  </w:style>
  <w:style w:type="paragraph" w:customStyle="1" w:styleId="Vnbnnidung50">
    <w:name w:val="Văn bản nội dung (5)"/>
    <w:basedOn w:val="Normal"/>
    <w:link w:val="Vnbnnidung5"/>
    <w:pPr>
      <w:spacing w:line="223" w:lineRule="auto"/>
      <w:ind w:firstLine="100"/>
    </w:pPr>
    <w:rPr>
      <w:rFonts w:ascii="Arial" w:eastAsia="Arial" w:hAnsi="Arial" w:cs="Arial"/>
      <w:sz w:val="36"/>
      <w:szCs w:val="36"/>
    </w:rPr>
  </w:style>
  <w:style w:type="paragraph" w:customStyle="1" w:styleId="Vnbnnidung0">
    <w:name w:val="Văn bản nội dung"/>
    <w:basedOn w:val="Normal"/>
    <w:link w:val="Vnbnnidung"/>
    <w:pPr>
      <w:spacing w:line="283" w:lineRule="auto"/>
      <w:ind w:firstLine="400"/>
    </w:pPr>
    <w:rPr>
      <w:rFonts w:ascii="Times New Roman" w:eastAsia="Times New Roman" w:hAnsi="Times New Roman" w:cs="Times New Roman"/>
      <w:color w:val="18171D"/>
      <w:sz w:val="26"/>
      <w:szCs w:val="26"/>
    </w:rPr>
  </w:style>
  <w:style w:type="paragraph" w:customStyle="1" w:styleId="Vnbnnidung20">
    <w:name w:val="Văn bản nội dung (2)"/>
    <w:basedOn w:val="Normal"/>
    <w:link w:val="Vnbnnidung2"/>
    <w:rPr>
      <w:rFonts w:ascii="Arial" w:eastAsia="Arial" w:hAnsi="Arial" w:cs="Arial"/>
      <w:sz w:val="13"/>
      <w:szCs w:val="13"/>
    </w:rPr>
  </w:style>
  <w:style w:type="paragraph" w:customStyle="1" w:styleId="Vnbnnidung30">
    <w:name w:val="Văn bản nội dung (3)"/>
    <w:basedOn w:val="Normal"/>
    <w:link w:val="Vnbnnidung3"/>
    <w:pPr>
      <w:spacing w:line="221" w:lineRule="auto"/>
      <w:jc w:val="center"/>
    </w:pPr>
    <w:rPr>
      <w:rFonts w:ascii="Times New Roman" w:eastAsia="Times New Roman" w:hAnsi="Times New Roman" w:cs="Times New Roman"/>
      <w:b/>
      <w:bCs/>
      <w:color w:val="18171D"/>
      <w:sz w:val="30"/>
      <w:szCs w:val="30"/>
    </w:rPr>
  </w:style>
  <w:style w:type="paragraph" w:customStyle="1" w:styleId="Vnbnnidung40">
    <w:name w:val="Văn bản nội dung (4)"/>
    <w:basedOn w:val="Normal"/>
    <w:link w:val="Vnbnnidung4"/>
    <w:pPr>
      <w:spacing w:line="259" w:lineRule="auto"/>
    </w:pPr>
    <w:rPr>
      <w:rFonts w:ascii="Times New Roman" w:eastAsia="Times New Roman" w:hAnsi="Times New Roman" w:cs="Times New Roman"/>
      <w:i/>
      <w:iCs/>
      <w:color w:val="18171D"/>
      <w:sz w:val="19"/>
      <w:szCs w:val="19"/>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36"/>
      <w:szCs w:val="3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8171D"/>
      <w:sz w:val="26"/>
      <w:szCs w:val="26"/>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3"/>
      <w:szCs w:val="13"/>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color w:val="18171D"/>
      <w:sz w:val="30"/>
      <w:szCs w:val="30"/>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color w:val="18171D"/>
      <w:sz w:val="19"/>
      <w:szCs w:val="19"/>
      <w:u w:val="none"/>
      <w:shd w:val="clear" w:color="auto" w:fill="auto"/>
    </w:rPr>
  </w:style>
  <w:style w:type="paragraph" w:customStyle="1" w:styleId="Vnbnnidung50">
    <w:name w:val="Văn bản nội dung (5)"/>
    <w:basedOn w:val="Normal"/>
    <w:link w:val="Vnbnnidung5"/>
    <w:pPr>
      <w:spacing w:line="223" w:lineRule="auto"/>
      <w:ind w:firstLine="100"/>
    </w:pPr>
    <w:rPr>
      <w:rFonts w:ascii="Arial" w:eastAsia="Arial" w:hAnsi="Arial" w:cs="Arial"/>
      <w:sz w:val="36"/>
      <w:szCs w:val="36"/>
    </w:rPr>
  </w:style>
  <w:style w:type="paragraph" w:customStyle="1" w:styleId="Vnbnnidung0">
    <w:name w:val="Văn bản nội dung"/>
    <w:basedOn w:val="Normal"/>
    <w:link w:val="Vnbnnidung"/>
    <w:pPr>
      <w:spacing w:line="283" w:lineRule="auto"/>
      <w:ind w:firstLine="400"/>
    </w:pPr>
    <w:rPr>
      <w:rFonts w:ascii="Times New Roman" w:eastAsia="Times New Roman" w:hAnsi="Times New Roman" w:cs="Times New Roman"/>
      <w:color w:val="18171D"/>
      <w:sz w:val="26"/>
      <w:szCs w:val="26"/>
    </w:rPr>
  </w:style>
  <w:style w:type="paragraph" w:customStyle="1" w:styleId="Vnbnnidung20">
    <w:name w:val="Văn bản nội dung (2)"/>
    <w:basedOn w:val="Normal"/>
    <w:link w:val="Vnbnnidung2"/>
    <w:rPr>
      <w:rFonts w:ascii="Arial" w:eastAsia="Arial" w:hAnsi="Arial" w:cs="Arial"/>
      <w:sz w:val="13"/>
      <w:szCs w:val="13"/>
    </w:rPr>
  </w:style>
  <w:style w:type="paragraph" w:customStyle="1" w:styleId="Vnbnnidung30">
    <w:name w:val="Văn bản nội dung (3)"/>
    <w:basedOn w:val="Normal"/>
    <w:link w:val="Vnbnnidung3"/>
    <w:pPr>
      <w:spacing w:line="221" w:lineRule="auto"/>
      <w:jc w:val="center"/>
    </w:pPr>
    <w:rPr>
      <w:rFonts w:ascii="Times New Roman" w:eastAsia="Times New Roman" w:hAnsi="Times New Roman" w:cs="Times New Roman"/>
      <w:b/>
      <w:bCs/>
      <w:color w:val="18171D"/>
      <w:sz w:val="30"/>
      <w:szCs w:val="30"/>
    </w:rPr>
  </w:style>
  <w:style w:type="paragraph" w:customStyle="1" w:styleId="Vnbnnidung40">
    <w:name w:val="Văn bản nội dung (4)"/>
    <w:basedOn w:val="Normal"/>
    <w:link w:val="Vnbnnidung4"/>
    <w:pPr>
      <w:spacing w:line="259" w:lineRule="auto"/>
    </w:pPr>
    <w:rPr>
      <w:rFonts w:ascii="Times New Roman" w:eastAsia="Times New Roman" w:hAnsi="Times New Roman" w:cs="Times New Roman"/>
      <w:i/>
      <w:iCs/>
      <w:color w:val="18171D"/>
      <w:sz w:val="19"/>
      <w:szCs w:val="19"/>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qXg88rX8sqQEbALms8d0YjvDKA==">CgMxLjA4AHIhMVJVQjBxb2E1VU9fTmJFRHMyT2NDYzB6alMxOFU0UUNM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2024-09-27T03:21:00Z</dcterms:created>
  <dcterms:modified xsi:type="dcterms:W3CDTF">2024-09-30T04:16:00Z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9c2b047b1033f4f3b9238f2cc56bfb15ab643bb91fb7692c63abdd4063d277c8</vt:lpwstr>
  </property>
</Properties>
</file>