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97639" w:rsidRPr="00650A9A" w:rsidRDefault="00000000" w:rsidP="008962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650A9A">
        <w:rPr>
          <w:rFonts w:ascii="Arial" w:hAnsi="Arial" w:cs="Arial"/>
          <w:b/>
          <w:color w:val="010000"/>
          <w:sz w:val="20"/>
        </w:rPr>
        <w:t>VGR: Board Resolution</w:t>
      </w:r>
    </w:p>
    <w:p w14:paraId="00000002" w14:textId="37A29A5B" w:rsidR="00197639" w:rsidRPr="00650A9A" w:rsidRDefault="00000000" w:rsidP="008962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 xml:space="preserve">On September 4, 2024, </w:t>
      </w:r>
      <w:proofErr w:type="spellStart"/>
      <w:r w:rsidRPr="00650A9A">
        <w:rPr>
          <w:rFonts w:ascii="Arial" w:hAnsi="Arial" w:cs="Arial"/>
          <w:color w:val="010000"/>
          <w:sz w:val="20"/>
        </w:rPr>
        <w:t>Vip</w:t>
      </w:r>
      <w:proofErr w:type="spellEnd"/>
      <w:r w:rsidRPr="00650A9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50A9A">
        <w:rPr>
          <w:rFonts w:ascii="Arial" w:hAnsi="Arial" w:cs="Arial"/>
          <w:color w:val="010000"/>
          <w:sz w:val="20"/>
        </w:rPr>
        <w:t>GreenPort</w:t>
      </w:r>
      <w:proofErr w:type="spellEnd"/>
      <w:r w:rsidRPr="00650A9A">
        <w:rPr>
          <w:rFonts w:ascii="Arial" w:hAnsi="Arial" w:cs="Arial"/>
          <w:color w:val="010000"/>
          <w:sz w:val="20"/>
        </w:rPr>
        <w:t xml:space="preserve"> Joint Stock Company announced Resolution </w:t>
      </w:r>
      <w:r w:rsidR="00896254" w:rsidRPr="00650A9A">
        <w:rPr>
          <w:rFonts w:ascii="Arial" w:hAnsi="Arial" w:cs="Arial"/>
          <w:color w:val="010000"/>
          <w:sz w:val="20"/>
        </w:rPr>
        <w:t xml:space="preserve">No. </w:t>
      </w:r>
      <w:r w:rsidRPr="00650A9A">
        <w:rPr>
          <w:rFonts w:ascii="Arial" w:hAnsi="Arial" w:cs="Arial"/>
          <w:color w:val="010000"/>
          <w:sz w:val="20"/>
        </w:rPr>
        <w:t>08/2024/NQ-HDQT as follows:</w:t>
      </w:r>
    </w:p>
    <w:p w14:paraId="00000003" w14:textId="3AC86D35" w:rsidR="00197639" w:rsidRPr="00650A9A" w:rsidRDefault="00000000" w:rsidP="008962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 xml:space="preserve">‎‎Article 1. Approve the dividend prepayment </w:t>
      </w:r>
      <w:r w:rsidR="00720B21" w:rsidRPr="00650A9A">
        <w:rPr>
          <w:rFonts w:ascii="Arial" w:hAnsi="Arial" w:cs="Arial"/>
          <w:color w:val="010000"/>
          <w:sz w:val="20"/>
        </w:rPr>
        <w:t xml:space="preserve">in cash </w:t>
      </w:r>
      <w:r w:rsidRPr="00650A9A">
        <w:rPr>
          <w:rFonts w:ascii="Arial" w:hAnsi="Arial" w:cs="Arial"/>
          <w:color w:val="010000"/>
          <w:sz w:val="20"/>
        </w:rPr>
        <w:t>of the first round of 2024 for shareholders, specifically as follows:</w:t>
      </w:r>
    </w:p>
    <w:p w14:paraId="00000004" w14:textId="1D2BC9FA" w:rsidR="00197639" w:rsidRPr="00650A9A" w:rsidRDefault="00000000" w:rsidP="00896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>Exercise rate:</w:t>
      </w:r>
      <w:r w:rsidR="00896254" w:rsidRPr="00650A9A">
        <w:rPr>
          <w:rFonts w:ascii="Arial" w:hAnsi="Arial" w:cs="Arial"/>
          <w:color w:val="010000"/>
          <w:sz w:val="20"/>
        </w:rPr>
        <w:t xml:space="preserve"> </w:t>
      </w:r>
      <w:r w:rsidRPr="00650A9A">
        <w:rPr>
          <w:rFonts w:ascii="Arial" w:hAnsi="Arial" w:cs="Arial"/>
          <w:color w:val="010000"/>
          <w:sz w:val="20"/>
        </w:rPr>
        <w:t>20%/share value (</w:t>
      </w:r>
      <w:r w:rsidR="00720B21" w:rsidRPr="00650A9A">
        <w:rPr>
          <w:rFonts w:ascii="Arial" w:hAnsi="Arial" w:cs="Arial"/>
          <w:color w:val="010000"/>
          <w:sz w:val="20"/>
        </w:rPr>
        <w:t xml:space="preserve">shareholders receive </w:t>
      </w:r>
      <w:r w:rsidRPr="00650A9A">
        <w:rPr>
          <w:rFonts w:ascii="Arial" w:hAnsi="Arial" w:cs="Arial"/>
          <w:color w:val="010000"/>
          <w:sz w:val="20"/>
        </w:rPr>
        <w:t xml:space="preserve">VND2,000 for </w:t>
      </w:r>
      <w:r w:rsidR="00720B21" w:rsidRPr="00650A9A">
        <w:rPr>
          <w:rFonts w:ascii="Arial" w:hAnsi="Arial" w:cs="Arial"/>
          <w:color w:val="010000"/>
          <w:sz w:val="20"/>
        </w:rPr>
        <w:t xml:space="preserve">each </w:t>
      </w:r>
      <w:r w:rsidRPr="00650A9A">
        <w:rPr>
          <w:rFonts w:ascii="Arial" w:hAnsi="Arial" w:cs="Arial"/>
          <w:color w:val="010000"/>
          <w:sz w:val="20"/>
        </w:rPr>
        <w:t>share</w:t>
      </w:r>
      <w:r w:rsidR="00720B21" w:rsidRPr="00650A9A">
        <w:rPr>
          <w:rFonts w:ascii="Arial" w:hAnsi="Arial" w:cs="Arial"/>
          <w:color w:val="010000"/>
          <w:sz w:val="20"/>
        </w:rPr>
        <w:t xml:space="preserve"> they own</w:t>
      </w:r>
      <w:r w:rsidRPr="00650A9A">
        <w:rPr>
          <w:rFonts w:ascii="Arial" w:hAnsi="Arial" w:cs="Arial"/>
          <w:color w:val="010000"/>
          <w:sz w:val="20"/>
        </w:rPr>
        <w:t>)</w:t>
      </w:r>
    </w:p>
    <w:p w14:paraId="00000005" w14:textId="77777777" w:rsidR="00197639" w:rsidRPr="00650A9A" w:rsidRDefault="00000000" w:rsidP="00896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>The record date to exercise the rights to receive dividends: September 19, 2024</w:t>
      </w:r>
    </w:p>
    <w:p w14:paraId="00000006" w14:textId="77777777" w:rsidR="00197639" w:rsidRPr="00650A9A" w:rsidRDefault="00000000" w:rsidP="00896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>Payment date: October 03, 2024</w:t>
      </w:r>
    </w:p>
    <w:p w14:paraId="00000007" w14:textId="77777777" w:rsidR="00197639" w:rsidRPr="00650A9A" w:rsidRDefault="00000000" w:rsidP="008962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>Article 2: Assign the Company’s Manager to direct and complete the necessary procedures and carry out the dividend payments in accordance with current regulations.</w:t>
      </w:r>
    </w:p>
    <w:p w14:paraId="00000008" w14:textId="274622C0" w:rsidR="00197639" w:rsidRPr="00650A9A" w:rsidRDefault="00000000" w:rsidP="008962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50A9A">
        <w:rPr>
          <w:rFonts w:ascii="Arial" w:hAnsi="Arial" w:cs="Arial"/>
          <w:color w:val="010000"/>
          <w:sz w:val="20"/>
        </w:rPr>
        <w:t>Article 3: This Resolution takes effect from the date of its signing. Members of the Board of Directors, the Manager</w:t>
      </w:r>
      <w:r w:rsidR="001B3067" w:rsidRPr="00650A9A">
        <w:rPr>
          <w:rFonts w:ascii="Arial" w:hAnsi="Arial" w:cs="Arial"/>
          <w:color w:val="010000"/>
          <w:sz w:val="20"/>
        </w:rPr>
        <w:t>s</w:t>
      </w:r>
      <w:r w:rsidRPr="00650A9A">
        <w:rPr>
          <w:rFonts w:ascii="Arial" w:hAnsi="Arial" w:cs="Arial"/>
          <w:color w:val="010000"/>
          <w:sz w:val="20"/>
        </w:rPr>
        <w:t>, related units and individuals are responsible for the implementation.</w:t>
      </w:r>
    </w:p>
    <w:sectPr w:rsidR="00197639" w:rsidRPr="00650A9A" w:rsidSect="00896254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E0C04"/>
    <w:multiLevelType w:val="multilevel"/>
    <w:tmpl w:val="3DF422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313135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7720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39"/>
    <w:rsid w:val="00137F15"/>
    <w:rsid w:val="00197639"/>
    <w:rsid w:val="001B3067"/>
    <w:rsid w:val="00650A9A"/>
    <w:rsid w:val="00720B21"/>
    <w:rsid w:val="00734729"/>
    <w:rsid w:val="00896254"/>
    <w:rsid w:val="00D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714A"/>
  <w15:docId w15:val="{59ECDA73-7B08-406F-A25B-F17B76A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81B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81B"/>
      <w:sz w:val="34"/>
      <w:szCs w:val="3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81B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20"/>
    </w:pPr>
    <w:rPr>
      <w:rFonts w:ascii="Times New Roman" w:eastAsia="Times New Roman" w:hAnsi="Times New Roman" w:cs="Times New Roman"/>
      <w:color w:val="17181B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38"/>
      <w:szCs w:val="38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3"/>
      <w:szCs w:val="13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b/>
      <w:bCs/>
      <w:color w:val="17181B"/>
      <w:sz w:val="34"/>
      <w:szCs w:val="34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color w:val="17181B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B35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/zLw2PhgEtIDWi0INhl2ES1xMA==">CgMxLjA4AHIhMVpoQ0Y2RkNMRzFCc1dmSDlnd2NWVXdqSGZVdkZocUFH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10</cp:revision>
  <dcterms:created xsi:type="dcterms:W3CDTF">2024-09-05T03:38:00Z</dcterms:created>
  <dcterms:modified xsi:type="dcterms:W3CDTF">2024-09-05T10:21:00Z</dcterms:modified>
</cp:coreProperties>
</file>